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12" w:rsidRPr="00813E2C" w:rsidRDefault="005E6612" w:rsidP="00B27D8E">
      <w:pPr>
        <w:spacing w:line="240" w:lineRule="auto"/>
        <w:rPr>
          <w:rFonts w:ascii="Times New Roman" w:hAnsi="Times New Roman"/>
          <w:sz w:val="24"/>
          <w:szCs w:val="24"/>
          <w:lang w:val="en-GB"/>
        </w:rPr>
      </w:pPr>
      <w:r>
        <w:rPr>
          <w:rFonts w:ascii="Times New Roman" w:hAnsi="Times New Roman"/>
          <w:sz w:val="24"/>
          <w:szCs w:val="24"/>
          <w:lang w:val="en-GB"/>
        </w:rPr>
        <w:t>Giulio Itzcovich*</w:t>
      </w:r>
    </w:p>
    <w:p w:rsidR="005E6612" w:rsidRPr="00C0681D" w:rsidRDefault="005E6612" w:rsidP="00B27D8E">
      <w:pPr>
        <w:spacing w:line="240" w:lineRule="auto"/>
        <w:jc w:val="center"/>
        <w:rPr>
          <w:rFonts w:ascii="Times New Roman" w:hAnsi="Times New Roman"/>
          <w:b/>
          <w:sz w:val="32"/>
          <w:szCs w:val="32"/>
          <w:lang w:val="en-GB"/>
        </w:rPr>
      </w:pPr>
      <w:r w:rsidRPr="00C0681D">
        <w:rPr>
          <w:rFonts w:ascii="Times New Roman" w:hAnsi="Times New Roman"/>
          <w:b/>
          <w:sz w:val="32"/>
          <w:szCs w:val="32"/>
          <w:lang w:val="en-GB"/>
        </w:rPr>
        <w:t>Constitutional Reasoning in the European Court of Justice</w:t>
      </w:r>
    </w:p>
    <w:p w:rsidR="005E6612" w:rsidRDefault="005E6612" w:rsidP="00B27D8E">
      <w:pPr>
        <w:spacing w:line="240" w:lineRule="auto"/>
        <w:jc w:val="both"/>
        <w:rPr>
          <w:rFonts w:ascii="Times New Roman" w:hAnsi="Times New Roman"/>
          <w:sz w:val="24"/>
          <w:szCs w:val="24"/>
          <w:lang w:val="en-GB"/>
        </w:rPr>
      </w:pPr>
    </w:p>
    <w:p w:rsidR="005E6612" w:rsidRDefault="005E6612" w:rsidP="007945B9">
      <w:pPr>
        <w:spacing w:line="240" w:lineRule="auto"/>
        <w:jc w:val="both"/>
        <w:rPr>
          <w:rFonts w:ascii="Times New Roman" w:hAnsi="Times New Roman"/>
          <w:smallCaps/>
          <w:sz w:val="24"/>
          <w:szCs w:val="24"/>
          <w:lang w:val="en-GB"/>
        </w:rPr>
      </w:pPr>
      <w:r w:rsidRPr="00F94099">
        <w:rPr>
          <w:rFonts w:ascii="Times New Roman" w:hAnsi="Times New Roman"/>
          <w:sz w:val="24"/>
          <w:szCs w:val="24"/>
          <w:lang w:val="en-GB"/>
        </w:rPr>
        <w:t xml:space="preserve">A. </w:t>
      </w:r>
      <w:r w:rsidRPr="00CD0778">
        <w:rPr>
          <w:rFonts w:ascii="Times New Roman" w:hAnsi="Times New Roman"/>
          <w:smallCaps/>
          <w:sz w:val="24"/>
          <w:szCs w:val="24"/>
          <w:lang w:val="en-GB"/>
        </w:rPr>
        <w:t>Legal, Political, Institutional and Academic Context</w:t>
      </w:r>
    </w:p>
    <w:p w:rsidR="005E6612" w:rsidRPr="00F94099" w:rsidRDefault="005E6612" w:rsidP="00B27D8E">
      <w:pPr>
        <w:spacing w:line="240" w:lineRule="auto"/>
        <w:jc w:val="both"/>
        <w:rPr>
          <w:rFonts w:ascii="Times New Roman" w:hAnsi="Times New Roman"/>
          <w:sz w:val="24"/>
          <w:szCs w:val="24"/>
          <w:lang w:val="en-GB"/>
        </w:rPr>
      </w:pPr>
      <w:r w:rsidRPr="007945B9">
        <w:rPr>
          <w:rFonts w:ascii="Times New Roman" w:hAnsi="Times New Roman"/>
          <w:sz w:val="24"/>
          <w:szCs w:val="24"/>
          <w:lang w:val="en-GB"/>
        </w:rPr>
        <w:t xml:space="preserve">1. </w:t>
      </w:r>
      <w:r w:rsidRPr="007945B9">
        <w:rPr>
          <w:rFonts w:ascii="Times New Roman" w:hAnsi="Times New Roman"/>
          <w:i/>
          <w:sz w:val="24"/>
          <w:szCs w:val="24"/>
          <w:lang w:val="en-GB"/>
        </w:rPr>
        <w:t>The jurisdiction of the Court. A constitutional court?</w:t>
      </w:r>
    </w:p>
    <w:p w:rsidR="005E6612" w:rsidRPr="00A928D2"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Determining whether the Court of Justice of the European Union </w:t>
      </w:r>
      <w:r w:rsidRPr="00813E2C">
        <w:rPr>
          <w:rFonts w:ascii="Times New Roman" w:hAnsi="Times New Roman"/>
          <w:sz w:val="24"/>
          <w:szCs w:val="24"/>
          <w:lang w:val="en-GB"/>
        </w:rPr>
        <w:t>is a constitutional court or not is not a straightforward matter of course</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
      </w:r>
      <w:r>
        <w:rPr>
          <w:rFonts w:ascii="Times New Roman" w:hAnsi="Times New Roman"/>
          <w:sz w:val="24"/>
          <w:szCs w:val="24"/>
          <w:lang w:val="en-GB"/>
        </w:rPr>
        <w:t xml:space="preserve"> </w:t>
      </w:r>
      <w:r w:rsidRPr="00A928D2">
        <w:rPr>
          <w:rFonts w:ascii="Times New Roman" w:hAnsi="Times New Roman"/>
          <w:sz w:val="24"/>
          <w:szCs w:val="24"/>
          <w:lang w:val="en-GB"/>
        </w:rPr>
        <w:t xml:space="preserve">To qualify it in such a way requires some introductory terminological and conceptual considerations for at least two separate reasons. </w:t>
      </w:r>
    </w:p>
    <w:p w:rsidR="005E6612" w:rsidRPr="00A928D2" w:rsidRDefault="005E6612" w:rsidP="00B27D8E">
      <w:pPr>
        <w:spacing w:line="240" w:lineRule="auto"/>
        <w:jc w:val="both"/>
        <w:rPr>
          <w:rFonts w:ascii="Times New Roman" w:hAnsi="Times New Roman"/>
          <w:sz w:val="24"/>
          <w:szCs w:val="24"/>
          <w:lang w:val="en-GB"/>
        </w:rPr>
      </w:pPr>
      <w:r w:rsidRPr="00A928D2">
        <w:rPr>
          <w:rFonts w:ascii="Times New Roman" w:hAnsi="Times New Roman"/>
          <w:sz w:val="24"/>
          <w:szCs w:val="24"/>
          <w:lang w:val="en-GB"/>
        </w:rPr>
        <w:t xml:space="preserve">The first is as much obvious as contingent. It lies in the fact that a consequence of the constitutional debate launched at Leaken in 2001, culminating with the failed Constitutional Treaty and with the approval of the Lisbon Treaty in 2007, is a definite political bias influencing the response to questions such as </w:t>
      </w:r>
      <w:r>
        <w:rPr>
          <w:rFonts w:ascii="Times New Roman" w:hAnsi="Times New Roman"/>
          <w:sz w:val="24"/>
          <w:szCs w:val="24"/>
          <w:lang w:val="en-GB"/>
        </w:rPr>
        <w:t>‘</w:t>
      </w:r>
      <w:r w:rsidRPr="00A928D2">
        <w:rPr>
          <w:rFonts w:ascii="Times New Roman" w:hAnsi="Times New Roman"/>
          <w:sz w:val="24"/>
          <w:szCs w:val="24"/>
          <w:lang w:val="en-GB"/>
        </w:rPr>
        <w:t xml:space="preserve">Does the </w:t>
      </w:r>
      <w:r>
        <w:rPr>
          <w:rFonts w:ascii="Times New Roman" w:hAnsi="Times New Roman"/>
          <w:sz w:val="24"/>
          <w:szCs w:val="24"/>
          <w:lang w:val="en-GB"/>
        </w:rPr>
        <w:t xml:space="preserve">EU </w:t>
      </w:r>
      <w:r w:rsidRPr="00A928D2">
        <w:rPr>
          <w:rFonts w:ascii="Times New Roman" w:hAnsi="Times New Roman"/>
          <w:sz w:val="24"/>
          <w:szCs w:val="24"/>
          <w:lang w:val="en-GB"/>
        </w:rPr>
        <w:t>have a constitution?</w:t>
      </w:r>
      <w:r>
        <w:rPr>
          <w:rFonts w:ascii="Times New Roman" w:hAnsi="Times New Roman"/>
          <w:sz w:val="24"/>
          <w:szCs w:val="24"/>
          <w:lang w:val="en-GB"/>
        </w:rPr>
        <w:t>’</w:t>
      </w:r>
      <w:r w:rsidRPr="00A928D2">
        <w:rPr>
          <w:rFonts w:ascii="Times New Roman" w:hAnsi="Times New Roman"/>
          <w:sz w:val="24"/>
          <w:szCs w:val="24"/>
          <w:lang w:val="en-GB"/>
        </w:rPr>
        <w:t xml:space="preserve"> and </w:t>
      </w:r>
      <w:r>
        <w:rPr>
          <w:rFonts w:ascii="Times New Roman" w:hAnsi="Times New Roman"/>
          <w:sz w:val="24"/>
          <w:szCs w:val="24"/>
          <w:lang w:val="en-GB"/>
        </w:rPr>
        <w:t>‘</w:t>
      </w:r>
      <w:r w:rsidRPr="00A928D2">
        <w:rPr>
          <w:rFonts w:ascii="Times New Roman" w:hAnsi="Times New Roman"/>
          <w:sz w:val="24"/>
          <w:szCs w:val="24"/>
          <w:lang w:val="en-GB"/>
        </w:rPr>
        <w:t>Does it need one?</w:t>
      </w:r>
      <w:r>
        <w:rPr>
          <w:rFonts w:ascii="Times New Roman" w:hAnsi="Times New Roman"/>
          <w:sz w:val="24"/>
          <w:szCs w:val="24"/>
          <w:lang w:val="en-GB"/>
        </w:rPr>
        <w:t>’</w:t>
      </w:r>
      <w:r w:rsidRPr="00A928D2">
        <w:rPr>
          <w:rFonts w:ascii="Times New Roman" w:hAnsi="Times New Roman"/>
          <w:sz w:val="24"/>
          <w:szCs w:val="24"/>
          <w:lang w:val="en-GB"/>
        </w:rPr>
        <w:t xml:space="preserve">. These questions have been addressed to the European peoples and for the time being they have received a negative answer. Following the results of the French and Dutch referenda, the European Council expressly decided that the new European Treaties </w:t>
      </w:r>
      <w:r>
        <w:rPr>
          <w:rFonts w:ascii="Times New Roman" w:hAnsi="Times New Roman"/>
          <w:sz w:val="24"/>
          <w:szCs w:val="24"/>
          <w:lang w:val="en-GB"/>
        </w:rPr>
        <w:t>‘</w:t>
      </w:r>
      <w:r w:rsidRPr="00A928D2">
        <w:rPr>
          <w:rFonts w:ascii="Times New Roman" w:hAnsi="Times New Roman"/>
          <w:sz w:val="24"/>
          <w:szCs w:val="24"/>
          <w:lang w:val="en-GB"/>
        </w:rPr>
        <w:t xml:space="preserve">will not have a constitutional character. The terminology used throughout the Treaties will reflect this change: the term </w:t>
      </w:r>
      <w:r>
        <w:rPr>
          <w:rFonts w:ascii="Times New Roman" w:hAnsi="Times New Roman"/>
          <w:sz w:val="24"/>
          <w:szCs w:val="24"/>
          <w:lang w:val="en-GB"/>
        </w:rPr>
        <w:t>“</w:t>
      </w:r>
      <w:r w:rsidRPr="00A928D2">
        <w:rPr>
          <w:rFonts w:ascii="Times New Roman" w:hAnsi="Times New Roman"/>
          <w:sz w:val="24"/>
          <w:szCs w:val="24"/>
          <w:lang w:val="en-GB"/>
        </w:rPr>
        <w:t>Constitution</w:t>
      </w:r>
      <w:r>
        <w:rPr>
          <w:rFonts w:ascii="Times New Roman" w:hAnsi="Times New Roman"/>
          <w:sz w:val="24"/>
          <w:szCs w:val="24"/>
          <w:lang w:val="en-GB"/>
        </w:rPr>
        <w:t>”</w:t>
      </w:r>
      <w:r w:rsidRPr="00A928D2">
        <w:rPr>
          <w:rFonts w:ascii="Times New Roman" w:hAnsi="Times New Roman"/>
          <w:sz w:val="24"/>
          <w:szCs w:val="24"/>
          <w:lang w:val="en-GB"/>
        </w:rPr>
        <w:t xml:space="preserve"> will not be used</w:t>
      </w:r>
      <w:r>
        <w:rPr>
          <w:rFonts w:ascii="Times New Roman" w:hAnsi="Times New Roman"/>
          <w:sz w:val="24"/>
          <w:szCs w:val="24"/>
          <w:lang w:val="en-GB"/>
        </w:rPr>
        <w:t>’.</w:t>
      </w:r>
      <w:r w:rsidRPr="00A928D2">
        <w:rPr>
          <w:rFonts w:ascii="Times New Roman" w:hAnsi="Times New Roman"/>
          <w:sz w:val="24"/>
          <w:szCs w:val="24"/>
          <w:vertAlign w:val="superscript"/>
          <w:lang w:val="en-GB"/>
        </w:rPr>
        <w:footnoteReference w:id="2"/>
      </w:r>
      <w:r w:rsidRPr="00A928D2">
        <w:rPr>
          <w:rFonts w:ascii="Times New Roman" w:hAnsi="Times New Roman"/>
          <w:sz w:val="24"/>
          <w:szCs w:val="24"/>
          <w:lang w:val="en-GB"/>
        </w:rPr>
        <w:t xml:space="preserve"> </w:t>
      </w:r>
    </w:p>
    <w:p w:rsidR="005E6612" w:rsidRDefault="005E6612" w:rsidP="00B27D8E">
      <w:pPr>
        <w:spacing w:line="240" w:lineRule="auto"/>
        <w:jc w:val="both"/>
        <w:rPr>
          <w:rFonts w:ascii="Times New Roman" w:hAnsi="Times New Roman"/>
          <w:sz w:val="24"/>
          <w:szCs w:val="24"/>
          <w:lang w:val="en-GB"/>
        </w:rPr>
      </w:pPr>
      <w:r w:rsidRPr="00A928D2">
        <w:rPr>
          <w:rFonts w:ascii="Times New Roman" w:hAnsi="Times New Roman"/>
          <w:sz w:val="24"/>
          <w:szCs w:val="24"/>
          <w:lang w:val="en-GB"/>
        </w:rPr>
        <w:t xml:space="preserve">The second reason is perhaps more interesting from a theoretical view point because it does not relate to the contingent political vicissitudes of the EU, but to one of its most salient features – what the legal doctrine constantly refers to as the </w:t>
      </w:r>
      <w:r>
        <w:rPr>
          <w:rFonts w:ascii="Times New Roman" w:hAnsi="Times New Roman"/>
          <w:sz w:val="24"/>
          <w:szCs w:val="24"/>
          <w:lang w:val="en-GB"/>
        </w:rPr>
        <w:t xml:space="preserve">its </w:t>
      </w:r>
      <w:r w:rsidRPr="00A928D2">
        <w:rPr>
          <w:rFonts w:ascii="Times New Roman" w:hAnsi="Times New Roman"/>
          <w:i/>
          <w:sz w:val="24"/>
          <w:szCs w:val="24"/>
          <w:lang w:val="en-GB"/>
        </w:rPr>
        <w:t>sui generis</w:t>
      </w:r>
      <w:r w:rsidRPr="00A928D2">
        <w:rPr>
          <w:rFonts w:ascii="Times New Roman" w:hAnsi="Times New Roman"/>
          <w:sz w:val="24"/>
          <w:szCs w:val="24"/>
          <w:lang w:val="en-GB"/>
        </w:rPr>
        <w:t xml:space="preserve"> nature. The </w:t>
      </w:r>
      <w:r w:rsidRPr="00A928D2">
        <w:rPr>
          <w:rFonts w:ascii="Times New Roman" w:hAnsi="Times New Roman"/>
          <w:i/>
          <w:sz w:val="24"/>
          <w:szCs w:val="24"/>
          <w:lang w:val="en-GB"/>
        </w:rPr>
        <w:t>sui generis</w:t>
      </w:r>
      <w:r w:rsidRPr="00A928D2">
        <w:rPr>
          <w:rFonts w:ascii="Times New Roman" w:hAnsi="Times New Roman"/>
          <w:sz w:val="24"/>
          <w:szCs w:val="24"/>
          <w:lang w:val="en-GB"/>
        </w:rPr>
        <w:t xml:space="preserve"> nature is the result and the synthetic formulation of several institutional novelties that have characterised the European Comm</w:t>
      </w:r>
      <w:r>
        <w:rPr>
          <w:rFonts w:ascii="Times New Roman" w:hAnsi="Times New Roman"/>
          <w:sz w:val="24"/>
          <w:szCs w:val="24"/>
          <w:lang w:val="en-GB"/>
        </w:rPr>
        <w:t xml:space="preserve">unities </w:t>
      </w:r>
      <w:r w:rsidRPr="00A928D2">
        <w:rPr>
          <w:rFonts w:ascii="Times New Roman" w:hAnsi="Times New Roman"/>
          <w:sz w:val="24"/>
          <w:szCs w:val="24"/>
          <w:lang w:val="en-GB"/>
        </w:rPr>
        <w:t xml:space="preserve">since the beginning: directly applicable regulations, majority voting in the Council, independency of the Commission, and – last but not least – the jurisdiction of the </w:t>
      </w:r>
      <w:r w:rsidRPr="003D634E">
        <w:rPr>
          <w:rFonts w:ascii="Times New Roman" w:hAnsi="Times New Roman"/>
          <w:sz w:val="24"/>
          <w:szCs w:val="24"/>
          <w:lang w:val="en-GB"/>
        </w:rPr>
        <w:t>Court of Justice</w:t>
      </w:r>
      <w:r w:rsidRPr="00A928D2">
        <w:rPr>
          <w:rFonts w:ascii="Times New Roman" w:hAnsi="Times New Roman"/>
          <w:sz w:val="24"/>
          <w:szCs w:val="24"/>
          <w:lang w:val="en-GB"/>
        </w:rPr>
        <w:t>. Since the establishment of the European Coal and Steel Community</w:t>
      </w:r>
      <w:r>
        <w:rPr>
          <w:rFonts w:ascii="Times New Roman" w:hAnsi="Times New Roman"/>
          <w:sz w:val="24"/>
          <w:szCs w:val="24"/>
          <w:lang w:val="en-GB"/>
        </w:rPr>
        <w:t xml:space="preserve"> </w:t>
      </w:r>
      <w:r w:rsidRPr="00A928D2">
        <w:rPr>
          <w:rFonts w:ascii="Times New Roman" w:hAnsi="Times New Roman"/>
          <w:sz w:val="24"/>
          <w:szCs w:val="24"/>
          <w:lang w:val="en-GB"/>
        </w:rPr>
        <w:t xml:space="preserve">in 1951, the legal scholarship has always qualified the EC institutions as </w:t>
      </w:r>
      <w:r w:rsidRPr="00A928D2">
        <w:rPr>
          <w:rFonts w:ascii="Times New Roman" w:hAnsi="Times New Roman"/>
          <w:i/>
          <w:sz w:val="24"/>
          <w:szCs w:val="24"/>
          <w:lang w:val="en-GB"/>
        </w:rPr>
        <w:t xml:space="preserve">sui generis </w:t>
      </w:r>
      <w:r w:rsidRPr="00A928D2">
        <w:rPr>
          <w:rFonts w:ascii="Times New Roman" w:hAnsi="Times New Roman"/>
          <w:sz w:val="24"/>
          <w:szCs w:val="24"/>
          <w:lang w:val="en-GB"/>
        </w:rPr>
        <w:t>entities in order to express the fact (and to endorse the project) that they lie (and should lie) somewhere in between international law and constitutional law, and between interstate organisation and federal construction</w:t>
      </w:r>
      <w:r>
        <w:rPr>
          <w:rFonts w:ascii="Times New Roman" w:hAnsi="Times New Roman"/>
          <w:sz w:val="24"/>
          <w:szCs w:val="24"/>
          <w:lang w:val="en-GB"/>
        </w:rPr>
        <w:t>.</w:t>
      </w:r>
      <w:r w:rsidRPr="00A928D2">
        <w:rPr>
          <w:rFonts w:ascii="Times New Roman" w:hAnsi="Times New Roman"/>
          <w:sz w:val="24"/>
          <w:szCs w:val="24"/>
          <w:vertAlign w:val="superscript"/>
          <w:lang w:val="en-GB"/>
        </w:rPr>
        <w:footnoteReference w:id="3"/>
      </w:r>
      <w:r w:rsidRPr="00A928D2">
        <w:rPr>
          <w:rFonts w:ascii="Times New Roman" w:hAnsi="Times New Roman"/>
          <w:sz w:val="24"/>
          <w:szCs w:val="24"/>
          <w:lang w:val="en-GB"/>
        </w:rPr>
        <w:t xml:space="preserve"> </w:t>
      </w:r>
    </w:p>
    <w:p w:rsidR="005E6612"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T</w:t>
      </w:r>
      <w:r w:rsidRPr="00BB19F2">
        <w:rPr>
          <w:rFonts w:ascii="Times New Roman" w:hAnsi="Times New Roman"/>
          <w:sz w:val="24"/>
          <w:szCs w:val="24"/>
          <w:lang w:val="en-GB"/>
        </w:rPr>
        <w:t xml:space="preserve">he </w:t>
      </w:r>
      <w:r w:rsidRPr="00BB19F2">
        <w:rPr>
          <w:rFonts w:ascii="Times New Roman" w:hAnsi="Times New Roman"/>
          <w:i/>
          <w:sz w:val="24"/>
          <w:szCs w:val="24"/>
          <w:lang w:val="en-GB"/>
        </w:rPr>
        <w:t xml:space="preserve">sui generis </w:t>
      </w:r>
      <w:r w:rsidRPr="00BB19F2">
        <w:rPr>
          <w:rFonts w:ascii="Times New Roman" w:hAnsi="Times New Roman"/>
          <w:sz w:val="24"/>
          <w:szCs w:val="24"/>
          <w:lang w:val="en-GB"/>
        </w:rPr>
        <w:t xml:space="preserve">nature has never been, so to say, a brute fact – a state of things capable of being simply observed and described in a detached and objective manner. It is a complex institutional fact or, to put it differently, a </w:t>
      </w:r>
      <w:r>
        <w:rPr>
          <w:rFonts w:ascii="Times New Roman" w:hAnsi="Times New Roman"/>
          <w:sz w:val="24"/>
          <w:szCs w:val="24"/>
          <w:lang w:val="en-GB"/>
        </w:rPr>
        <w:t>“</w:t>
      </w:r>
      <w:r w:rsidRPr="00BB19F2">
        <w:rPr>
          <w:rFonts w:ascii="Times New Roman" w:hAnsi="Times New Roman"/>
          <w:sz w:val="24"/>
          <w:szCs w:val="24"/>
          <w:lang w:val="en-GB"/>
        </w:rPr>
        <w:t>narrative</w:t>
      </w:r>
      <w:r>
        <w:rPr>
          <w:rFonts w:ascii="Times New Roman" w:hAnsi="Times New Roman"/>
          <w:sz w:val="24"/>
          <w:szCs w:val="24"/>
          <w:lang w:val="en-GB"/>
        </w:rPr>
        <w:t>”</w:t>
      </w:r>
      <w:r w:rsidRPr="00BB19F2">
        <w:rPr>
          <w:rFonts w:ascii="Times New Roman" w:hAnsi="Times New Roman"/>
          <w:sz w:val="24"/>
          <w:szCs w:val="24"/>
          <w:lang w:val="en-GB"/>
        </w:rPr>
        <w:t xml:space="preserve"> with notable consequences for several legal issues of European integration. In any case, the institutional self-understanding and the political pr</w:t>
      </w:r>
      <w:r>
        <w:rPr>
          <w:rFonts w:ascii="Times New Roman" w:hAnsi="Times New Roman"/>
          <w:sz w:val="24"/>
          <w:szCs w:val="24"/>
          <w:lang w:val="en-GB"/>
        </w:rPr>
        <w:t xml:space="preserve">oject expressed by the </w:t>
      </w:r>
      <w:r w:rsidRPr="00BB19F2">
        <w:rPr>
          <w:rFonts w:ascii="Times New Roman" w:hAnsi="Times New Roman"/>
          <w:i/>
          <w:sz w:val="24"/>
          <w:szCs w:val="24"/>
          <w:lang w:val="en-GB"/>
        </w:rPr>
        <w:t>sui generis</w:t>
      </w:r>
      <w:r>
        <w:rPr>
          <w:rFonts w:ascii="Times New Roman" w:hAnsi="Times New Roman"/>
          <w:sz w:val="24"/>
          <w:szCs w:val="24"/>
          <w:lang w:val="en-GB"/>
        </w:rPr>
        <w:t xml:space="preserve"> formula</w:t>
      </w:r>
      <w:r w:rsidRPr="00BB19F2">
        <w:rPr>
          <w:rFonts w:ascii="Times New Roman" w:hAnsi="Times New Roman"/>
          <w:sz w:val="24"/>
          <w:szCs w:val="24"/>
          <w:lang w:val="en-GB"/>
        </w:rPr>
        <w:t xml:space="preserve"> have deeply affected the semantics of European law. As a consequence of the </w:t>
      </w:r>
      <w:r w:rsidRPr="00BB19F2">
        <w:rPr>
          <w:rFonts w:ascii="Times New Roman" w:hAnsi="Times New Roman"/>
          <w:i/>
          <w:sz w:val="24"/>
          <w:szCs w:val="24"/>
          <w:lang w:val="en-GB"/>
        </w:rPr>
        <w:t>sui generis</w:t>
      </w:r>
      <w:r w:rsidRPr="00BB19F2">
        <w:rPr>
          <w:rFonts w:ascii="Times New Roman" w:hAnsi="Times New Roman"/>
          <w:sz w:val="24"/>
          <w:szCs w:val="24"/>
          <w:lang w:val="en-GB"/>
        </w:rPr>
        <w:t xml:space="preserve"> nature of the Community, several fundamental concepts of public law, once they are </w:t>
      </w:r>
      <w:r w:rsidRPr="00BB19F2">
        <w:rPr>
          <w:rFonts w:ascii="Times New Roman" w:hAnsi="Times New Roman"/>
          <w:sz w:val="24"/>
          <w:szCs w:val="24"/>
          <w:lang w:val="en-GB"/>
        </w:rPr>
        <w:lastRenderedPageBreak/>
        <w:t>applied to the European institutions, have undergone significant transformation and adaptation</w:t>
      </w:r>
      <w:r>
        <w:rPr>
          <w:rFonts w:ascii="Times New Roman" w:hAnsi="Times New Roman"/>
          <w:sz w:val="24"/>
          <w:szCs w:val="24"/>
          <w:lang w:val="en-GB"/>
        </w:rPr>
        <w:t>.</w:t>
      </w:r>
      <w:r w:rsidRPr="00BB19F2">
        <w:rPr>
          <w:rFonts w:ascii="Times New Roman" w:hAnsi="Times New Roman"/>
          <w:sz w:val="24"/>
          <w:szCs w:val="24"/>
          <w:vertAlign w:val="superscript"/>
          <w:lang w:val="en-GB"/>
        </w:rPr>
        <w:footnoteReference w:id="4"/>
      </w:r>
      <w:r w:rsidRPr="00BB19F2">
        <w:rPr>
          <w:rFonts w:ascii="Times New Roman" w:hAnsi="Times New Roman"/>
          <w:sz w:val="24"/>
          <w:szCs w:val="24"/>
          <w:lang w:val="en-GB"/>
        </w:rPr>
        <w:t xml:space="preserve"> And the concepts of </w:t>
      </w:r>
      <w:r>
        <w:rPr>
          <w:rFonts w:ascii="Times New Roman" w:hAnsi="Times New Roman"/>
          <w:sz w:val="24"/>
          <w:szCs w:val="24"/>
          <w:lang w:val="en-GB"/>
        </w:rPr>
        <w:t>‘</w:t>
      </w:r>
      <w:r w:rsidRPr="00BB19F2">
        <w:rPr>
          <w:rFonts w:ascii="Times New Roman" w:hAnsi="Times New Roman"/>
          <w:sz w:val="24"/>
          <w:szCs w:val="24"/>
          <w:lang w:val="en-GB"/>
        </w:rPr>
        <w:t>constitution</w:t>
      </w:r>
      <w:r>
        <w:rPr>
          <w:rFonts w:ascii="Times New Roman" w:hAnsi="Times New Roman"/>
          <w:sz w:val="24"/>
          <w:szCs w:val="24"/>
          <w:lang w:val="en-GB"/>
        </w:rPr>
        <w:t>’</w:t>
      </w:r>
      <w:r w:rsidRPr="00BB19F2">
        <w:rPr>
          <w:rFonts w:ascii="Times New Roman" w:hAnsi="Times New Roman"/>
          <w:sz w:val="24"/>
          <w:szCs w:val="24"/>
          <w:lang w:val="en-GB"/>
        </w:rPr>
        <w:t xml:space="preserve"> and </w:t>
      </w:r>
      <w:r>
        <w:rPr>
          <w:rFonts w:ascii="Times New Roman" w:hAnsi="Times New Roman"/>
          <w:sz w:val="24"/>
          <w:szCs w:val="24"/>
          <w:lang w:val="en-GB"/>
        </w:rPr>
        <w:t>‘</w:t>
      </w:r>
      <w:r w:rsidRPr="00BB19F2">
        <w:rPr>
          <w:rFonts w:ascii="Times New Roman" w:hAnsi="Times New Roman"/>
          <w:sz w:val="24"/>
          <w:szCs w:val="24"/>
          <w:lang w:val="en-GB"/>
        </w:rPr>
        <w:t>constitutional</w:t>
      </w:r>
      <w:r>
        <w:rPr>
          <w:rFonts w:ascii="Times New Roman" w:hAnsi="Times New Roman"/>
          <w:sz w:val="24"/>
          <w:szCs w:val="24"/>
          <w:lang w:val="en-GB"/>
        </w:rPr>
        <w:t>’</w:t>
      </w:r>
      <w:r w:rsidRPr="00BB19F2">
        <w:rPr>
          <w:rFonts w:ascii="Times New Roman" w:hAnsi="Times New Roman"/>
          <w:sz w:val="24"/>
          <w:szCs w:val="24"/>
          <w:lang w:val="en-GB"/>
        </w:rPr>
        <w:t xml:space="preserve"> are no exceptions in this regard. </w:t>
      </w:r>
    </w:p>
    <w:p w:rsidR="005E6612" w:rsidRPr="00796FE7" w:rsidRDefault="005E6612" w:rsidP="00B27D8E">
      <w:pPr>
        <w:spacing w:line="240" w:lineRule="auto"/>
        <w:jc w:val="both"/>
        <w:rPr>
          <w:rFonts w:ascii="Times New Roman" w:hAnsi="Times New Roman"/>
          <w:sz w:val="24"/>
          <w:szCs w:val="24"/>
          <w:lang w:val="en-GB"/>
        </w:rPr>
      </w:pPr>
      <w:r w:rsidRPr="00CA2A4A">
        <w:rPr>
          <w:rFonts w:ascii="Times New Roman" w:hAnsi="Times New Roman"/>
          <w:sz w:val="24"/>
          <w:szCs w:val="24"/>
          <w:lang w:val="en-GB"/>
        </w:rPr>
        <w:t xml:space="preserve">The </w:t>
      </w:r>
      <w:r w:rsidRPr="00813E2C">
        <w:rPr>
          <w:rFonts w:ascii="Times New Roman" w:hAnsi="Times New Roman"/>
          <w:sz w:val="24"/>
          <w:szCs w:val="24"/>
          <w:lang w:val="en-GB"/>
        </w:rPr>
        <w:t xml:space="preserve">Court of Justice </w:t>
      </w:r>
      <w:r w:rsidRPr="00CA2A4A">
        <w:rPr>
          <w:rFonts w:ascii="Times New Roman" w:hAnsi="Times New Roman"/>
          <w:sz w:val="24"/>
          <w:szCs w:val="24"/>
          <w:lang w:val="en-GB"/>
        </w:rPr>
        <w:t xml:space="preserve">is a particularly salient </w:t>
      </w:r>
      <w:r w:rsidRPr="00CA2A4A">
        <w:rPr>
          <w:rFonts w:ascii="Times New Roman" w:hAnsi="Times New Roman"/>
          <w:iCs/>
          <w:sz w:val="24"/>
          <w:szCs w:val="24"/>
          <w:lang w:val="en-GB"/>
        </w:rPr>
        <w:t>exemplar for illustrating</w:t>
      </w:r>
      <w:r>
        <w:rPr>
          <w:rFonts w:ascii="Times New Roman" w:hAnsi="Times New Roman"/>
          <w:iCs/>
          <w:sz w:val="24"/>
          <w:szCs w:val="24"/>
          <w:lang w:val="en-GB"/>
        </w:rPr>
        <w:t xml:space="preserve"> this point. </w:t>
      </w:r>
      <w:r>
        <w:rPr>
          <w:rFonts w:ascii="Times New Roman" w:hAnsi="Times New Roman"/>
          <w:sz w:val="24"/>
          <w:szCs w:val="24"/>
          <w:lang w:val="en-GB"/>
        </w:rPr>
        <w:t xml:space="preserve">Its </w:t>
      </w:r>
      <w:r w:rsidRPr="00813E2C">
        <w:rPr>
          <w:rFonts w:ascii="Times New Roman" w:hAnsi="Times New Roman"/>
          <w:sz w:val="24"/>
          <w:szCs w:val="24"/>
          <w:lang w:val="en-GB"/>
        </w:rPr>
        <w:t xml:space="preserve">jurisdiction </w:t>
      </w:r>
      <w:r>
        <w:rPr>
          <w:rFonts w:ascii="Times New Roman" w:hAnsi="Times New Roman"/>
          <w:sz w:val="24"/>
          <w:szCs w:val="24"/>
          <w:lang w:val="en-GB"/>
        </w:rPr>
        <w:t xml:space="preserve">is </w:t>
      </w:r>
      <w:r w:rsidRPr="00813E2C">
        <w:rPr>
          <w:rFonts w:ascii="Times New Roman" w:hAnsi="Times New Roman"/>
          <w:sz w:val="24"/>
          <w:szCs w:val="24"/>
          <w:lang w:val="en-GB"/>
        </w:rPr>
        <w:t xml:space="preserve">atypical in several respects. First of all, the Court of Justice of the </w:t>
      </w:r>
      <w:r>
        <w:rPr>
          <w:rFonts w:ascii="Times New Roman" w:hAnsi="Times New Roman"/>
          <w:sz w:val="24"/>
          <w:szCs w:val="24"/>
          <w:lang w:val="en-GB"/>
        </w:rPr>
        <w:t xml:space="preserve">European Union </w:t>
      </w:r>
      <w:r w:rsidRPr="00813E2C">
        <w:rPr>
          <w:rFonts w:ascii="Times New Roman" w:hAnsi="Times New Roman"/>
          <w:sz w:val="24"/>
          <w:szCs w:val="24"/>
          <w:lang w:val="en-GB"/>
        </w:rPr>
        <w:t xml:space="preserve">is at present composed of three judicial organs: the </w:t>
      </w:r>
      <w:r>
        <w:rPr>
          <w:rFonts w:ascii="Times New Roman" w:hAnsi="Times New Roman"/>
          <w:sz w:val="24"/>
          <w:szCs w:val="24"/>
          <w:lang w:val="en-GB"/>
        </w:rPr>
        <w:t>Court of Justice properly called</w:t>
      </w:r>
      <w:r w:rsidRPr="00813E2C">
        <w:rPr>
          <w:rFonts w:ascii="Times New Roman" w:hAnsi="Times New Roman"/>
          <w:sz w:val="24"/>
          <w:szCs w:val="24"/>
          <w:lang w:val="en-GB"/>
        </w:rPr>
        <w:t>, whose legal reasonin</w:t>
      </w:r>
      <w:r>
        <w:rPr>
          <w:rFonts w:ascii="Times New Roman" w:hAnsi="Times New Roman"/>
          <w:sz w:val="24"/>
          <w:szCs w:val="24"/>
          <w:lang w:val="en-GB"/>
        </w:rPr>
        <w:t>g is the subject of our inquiry,</w:t>
      </w:r>
      <w:r w:rsidRPr="00813E2C">
        <w:rPr>
          <w:rFonts w:ascii="Times New Roman" w:hAnsi="Times New Roman"/>
          <w:sz w:val="24"/>
          <w:szCs w:val="24"/>
          <w:lang w:val="en-GB"/>
        </w:rPr>
        <w:t xml:space="preserve"> the General Court, formerly Court of F</w:t>
      </w:r>
      <w:r>
        <w:rPr>
          <w:rFonts w:ascii="Times New Roman" w:hAnsi="Times New Roman"/>
          <w:sz w:val="24"/>
          <w:szCs w:val="24"/>
          <w:lang w:val="en-GB"/>
        </w:rPr>
        <w:t>irst Instance,</w:t>
      </w:r>
      <w:r w:rsidRPr="00813E2C">
        <w:rPr>
          <w:rFonts w:ascii="Times New Roman" w:hAnsi="Times New Roman"/>
          <w:sz w:val="24"/>
          <w:szCs w:val="24"/>
          <w:lang w:val="en-GB"/>
        </w:rPr>
        <w:t xml:space="preserve"> and the specialised courts, of which at the moment there is only one, the Civil Service Tribunal. Secondly, and most importantly, the matters </w:t>
      </w:r>
      <w:r w:rsidRPr="00796FE7">
        <w:rPr>
          <w:rFonts w:ascii="Times New Roman" w:hAnsi="Times New Roman"/>
          <w:sz w:val="24"/>
          <w:szCs w:val="24"/>
          <w:lang w:val="en-GB"/>
        </w:rPr>
        <w:t xml:space="preserve">upon which the Court of Justice is competent to adjudicate are so diverse and the grounds of its jurisdiction are so miscellaneous that the Court has no analogue at national or international level. </w:t>
      </w:r>
    </w:p>
    <w:p w:rsidR="005E6612" w:rsidRDefault="005E6612" w:rsidP="0047010D">
      <w:pPr>
        <w:spacing w:line="240" w:lineRule="auto"/>
        <w:jc w:val="both"/>
        <w:rPr>
          <w:rFonts w:ascii="Times New Roman" w:hAnsi="Times New Roman"/>
          <w:sz w:val="24"/>
          <w:szCs w:val="24"/>
          <w:lang w:val="en-GB"/>
        </w:rPr>
      </w:pPr>
      <w:r w:rsidRPr="00796FE7">
        <w:rPr>
          <w:rFonts w:ascii="Times New Roman" w:hAnsi="Times New Roman"/>
          <w:sz w:val="24"/>
          <w:szCs w:val="24"/>
          <w:lang w:val="en-GB"/>
        </w:rPr>
        <w:t xml:space="preserve">The Court of Justice ensures ‘that in the interpretation and application of the Treaties the law is observed’ (Article 19 TEU): it reviews the legality of the acts of the EU, interprets EU law at the request of the national courts and ensures that the Member States comply with it. In performing these tasks, it may be useful to distinguish between the Court of Justice operating (i) as the </w:t>
      </w:r>
      <w:r w:rsidRPr="00796FE7">
        <w:rPr>
          <w:rFonts w:ascii="Times New Roman" w:hAnsi="Times New Roman"/>
          <w:i/>
          <w:sz w:val="24"/>
          <w:szCs w:val="24"/>
          <w:lang w:val="en-GB"/>
        </w:rPr>
        <w:t>sensu stricto</w:t>
      </w:r>
      <w:r w:rsidRPr="00796FE7">
        <w:rPr>
          <w:rFonts w:ascii="Times New Roman" w:hAnsi="Times New Roman"/>
          <w:sz w:val="24"/>
          <w:szCs w:val="24"/>
          <w:lang w:val="en-GB"/>
        </w:rPr>
        <w:t xml:space="preserve"> constitutional court of the EU legal order, (ii) as one </w:t>
      </w:r>
      <w:r w:rsidRPr="00796FE7">
        <w:rPr>
          <w:rFonts w:ascii="Times New Roman" w:hAnsi="Times New Roman"/>
          <w:i/>
          <w:sz w:val="24"/>
          <w:szCs w:val="24"/>
          <w:lang w:val="en-GB"/>
        </w:rPr>
        <w:t xml:space="preserve">sensu lato </w:t>
      </w:r>
      <w:r w:rsidRPr="00796FE7">
        <w:rPr>
          <w:rFonts w:ascii="Times New Roman" w:hAnsi="Times New Roman"/>
          <w:sz w:val="24"/>
          <w:szCs w:val="24"/>
          <w:lang w:val="en-GB"/>
        </w:rPr>
        <w:t>constitutional court of the European legal space, (iii) as an international</w:t>
      </w:r>
      <w:r>
        <w:rPr>
          <w:rFonts w:ascii="Times New Roman" w:hAnsi="Times New Roman"/>
          <w:sz w:val="24"/>
          <w:szCs w:val="24"/>
          <w:lang w:val="en-GB"/>
        </w:rPr>
        <w:t xml:space="preserve"> tribunal, and (iv) under other headings of jurisdiction.</w:t>
      </w:r>
    </w:p>
    <w:p w:rsidR="005E6612"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(i) First of all, the </w:t>
      </w:r>
      <w:r w:rsidRPr="003D634E">
        <w:rPr>
          <w:rFonts w:ascii="Times New Roman" w:hAnsi="Times New Roman"/>
          <w:sz w:val="24"/>
          <w:szCs w:val="24"/>
          <w:lang w:val="en-GB"/>
        </w:rPr>
        <w:t>Court of Justice</w:t>
      </w:r>
      <w:r>
        <w:rPr>
          <w:rFonts w:ascii="Times New Roman" w:hAnsi="Times New Roman"/>
          <w:sz w:val="24"/>
          <w:szCs w:val="24"/>
          <w:lang w:val="en-GB"/>
        </w:rPr>
        <w:t xml:space="preserve"> is by all means a constitutional court – let’s call it a </w:t>
      </w:r>
      <w:r w:rsidRPr="00813E2C">
        <w:rPr>
          <w:rFonts w:ascii="Times New Roman" w:hAnsi="Times New Roman"/>
          <w:i/>
          <w:sz w:val="24"/>
          <w:szCs w:val="24"/>
          <w:lang w:val="en-GB"/>
        </w:rPr>
        <w:t>sensu stricto</w:t>
      </w:r>
      <w:r w:rsidRPr="00813E2C">
        <w:rPr>
          <w:rFonts w:ascii="Times New Roman" w:hAnsi="Times New Roman"/>
          <w:sz w:val="24"/>
          <w:szCs w:val="24"/>
          <w:lang w:val="en-GB"/>
        </w:rPr>
        <w:t xml:space="preserve"> constitutional court</w:t>
      </w:r>
      <w:r>
        <w:rPr>
          <w:rFonts w:ascii="Times New Roman" w:hAnsi="Times New Roman"/>
          <w:sz w:val="24"/>
          <w:szCs w:val="24"/>
          <w:lang w:val="en-GB"/>
        </w:rPr>
        <w:t xml:space="preserve"> – if we adopt the </w:t>
      </w:r>
      <w:r w:rsidRPr="00813E2C">
        <w:rPr>
          <w:rFonts w:ascii="Times New Roman" w:hAnsi="Times New Roman"/>
          <w:sz w:val="24"/>
          <w:szCs w:val="24"/>
          <w:lang w:val="en-GB"/>
        </w:rPr>
        <w:t xml:space="preserve">Kelsen-inspired concept of constitution proposed by András Jakab and stipulate that a constitution is </w:t>
      </w:r>
      <w:r>
        <w:rPr>
          <w:rFonts w:ascii="Times New Roman" w:hAnsi="Times New Roman"/>
          <w:sz w:val="24"/>
          <w:szCs w:val="24"/>
          <w:lang w:val="en-GB"/>
        </w:rPr>
        <w:t>‘</w:t>
      </w:r>
      <w:r w:rsidRPr="00813E2C">
        <w:rPr>
          <w:rFonts w:ascii="Times New Roman" w:hAnsi="Times New Roman"/>
          <w:sz w:val="24"/>
          <w:szCs w:val="24"/>
          <w:lang w:val="en-GB"/>
        </w:rPr>
        <w:t>a norm or a group of norms which are of the highest rank in a legal order in the sense that the validity of all other norms is measured on them</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5"/>
      </w:r>
      <w:r>
        <w:rPr>
          <w:rFonts w:ascii="Times New Roman" w:hAnsi="Times New Roman"/>
          <w:sz w:val="24"/>
          <w:szCs w:val="24"/>
          <w:lang w:val="en-GB"/>
        </w:rPr>
        <w:t xml:space="preserve"> </w:t>
      </w:r>
      <w:r w:rsidRPr="00813E2C">
        <w:rPr>
          <w:rFonts w:ascii="Times New Roman" w:hAnsi="Times New Roman"/>
          <w:sz w:val="24"/>
          <w:szCs w:val="24"/>
          <w:lang w:val="en-GB"/>
        </w:rPr>
        <w:t xml:space="preserve">If we adopt this concept of constitution,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would wear its constitutional hat mainly in annulment proceedings</w:t>
      </w:r>
      <w:r>
        <w:rPr>
          <w:rFonts w:ascii="Times New Roman" w:hAnsi="Times New Roman"/>
          <w:sz w:val="24"/>
          <w:szCs w:val="24"/>
          <w:lang w:val="en-GB"/>
        </w:rPr>
        <w:t xml:space="preserve">, where </w:t>
      </w:r>
      <w:r w:rsidRPr="00813E2C">
        <w:rPr>
          <w:rFonts w:ascii="Times New Roman" w:hAnsi="Times New Roman"/>
          <w:sz w:val="24"/>
          <w:szCs w:val="24"/>
          <w:lang w:val="en-GB"/>
        </w:rPr>
        <w:t>the Court is competent to review the legality of EU acts.</w:t>
      </w:r>
      <w:r>
        <w:rPr>
          <w:rFonts w:ascii="Times New Roman" w:hAnsi="Times New Roman"/>
          <w:sz w:val="24"/>
          <w:szCs w:val="24"/>
          <w:lang w:val="en-GB"/>
        </w:rPr>
        <w:t xml:space="preserve"> </w:t>
      </w:r>
      <w:r w:rsidRPr="00BA5BCC">
        <w:rPr>
          <w:rFonts w:ascii="Times New Roman" w:hAnsi="Times New Roman"/>
          <w:bCs/>
          <w:iCs/>
          <w:sz w:val="24"/>
          <w:szCs w:val="24"/>
          <w:lang w:val="en-GB"/>
        </w:rPr>
        <w:t>T</w:t>
      </w:r>
      <w:r w:rsidRPr="00BA5BCC">
        <w:rPr>
          <w:rFonts w:ascii="Times New Roman" w:hAnsi="Times New Roman"/>
          <w:bCs/>
          <w:sz w:val="24"/>
          <w:szCs w:val="24"/>
          <w:lang w:val="en-GB"/>
        </w:rPr>
        <w:t xml:space="preserve">he action </w:t>
      </w:r>
      <w:r>
        <w:rPr>
          <w:rFonts w:ascii="Times New Roman" w:hAnsi="Times New Roman"/>
          <w:bCs/>
          <w:sz w:val="24"/>
          <w:szCs w:val="24"/>
          <w:lang w:val="en-GB"/>
        </w:rPr>
        <w:t>can</w:t>
      </w:r>
      <w:r w:rsidRPr="00BA5BCC">
        <w:rPr>
          <w:rFonts w:ascii="Times New Roman" w:hAnsi="Times New Roman"/>
          <w:bCs/>
          <w:sz w:val="24"/>
          <w:szCs w:val="24"/>
          <w:lang w:val="en-GB"/>
        </w:rPr>
        <w:t xml:space="preserve"> be brought by certain preferential plaintiffs </w:t>
      </w:r>
      <w:r>
        <w:rPr>
          <w:rFonts w:ascii="Times New Roman" w:hAnsi="Times New Roman"/>
          <w:bCs/>
          <w:sz w:val="24"/>
          <w:szCs w:val="24"/>
          <w:lang w:val="en-GB"/>
        </w:rPr>
        <w:t>(</w:t>
      </w:r>
      <w:r w:rsidRPr="00BA5BCC">
        <w:rPr>
          <w:rFonts w:ascii="Times New Roman" w:hAnsi="Times New Roman"/>
          <w:bCs/>
          <w:sz w:val="24"/>
          <w:szCs w:val="24"/>
          <w:lang w:val="en-GB"/>
        </w:rPr>
        <w:t xml:space="preserve">the </w:t>
      </w:r>
      <w:r w:rsidRPr="00BA5BCC">
        <w:rPr>
          <w:rFonts w:ascii="Times New Roman" w:hAnsi="Times New Roman"/>
          <w:sz w:val="24"/>
          <w:szCs w:val="24"/>
          <w:lang w:val="en-GB"/>
        </w:rPr>
        <w:t>Member States</w:t>
      </w:r>
      <w:r w:rsidRPr="00BA5BCC">
        <w:rPr>
          <w:rFonts w:ascii="Times New Roman" w:hAnsi="Times New Roman"/>
          <w:bCs/>
          <w:sz w:val="24"/>
          <w:szCs w:val="24"/>
          <w:lang w:val="en-GB"/>
        </w:rPr>
        <w:t>, the Council</w:t>
      </w:r>
      <w:r>
        <w:rPr>
          <w:rFonts w:ascii="Times New Roman" w:hAnsi="Times New Roman"/>
          <w:bCs/>
          <w:sz w:val="24"/>
          <w:szCs w:val="24"/>
          <w:lang w:val="en-GB"/>
        </w:rPr>
        <w:t xml:space="preserve">, </w:t>
      </w:r>
      <w:r w:rsidRPr="00BA5BCC">
        <w:rPr>
          <w:rFonts w:ascii="Times New Roman" w:hAnsi="Times New Roman"/>
          <w:bCs/>
          <w:sz w:val="24"/>
          <w:szCs w:val="24"/>
          <w:lang w:val="en-GB"/>
        </w:rPr>
        <w:t xml:space="preserve">the Commission </w:t>
      </w:r>
      <w:r>
        <w:rPr>
          <w:rFonts w:ascii="Times New Roman" w:hAnsi="Times New Roman"/>
          <w:bCs/>
          <w:sz w:val="24"/>
          <w:szCs w:val="24"/>
          <w:lang w:val="en-GB"/>
        </w:rPr>
        <w:t xml:space="preserve">and the Parliament), </w:t>
      </w:r>
      <w:r w:rsidRPr="00813E2C">
        <w:rPr>
          <w:rFonts w:ascii="Times New Roman" w:hAnsi="Times New Roman"/>
          <w:sz w:val="24"/>
          <w:szCs w:val="24"/>
          <w:lang w:val="en-GB"/>
        </w:rPr>
        <w:t>directly b</w:t>
      </w:r>
      <w:r>
        <w:rPr>
          <w:rFonts w:ascii="Times New Roman" w:hAnsi="Times New Roman"/>
          <w:sz w:val="24"/>
          <w:szCs w:val="24"/>
          <w:lang w:val="en-GB"/>
        </w:rPr>
        <w:t xml:space="preserve">y </w:t>
      </w:r>
      <w:r w:rsidRPr="00BA5BCC">
        <w:rPr>
          <w:rFonts w:ascii="Times New Roman" w:hAnsi="Times New Roman"/>
          <w:sz w:val="24"/>
          <w:szCs w:val="24"/>
          <w:lang w:val="en-GB"/>
        </w:rPr>
        <w:t xml:space="preserve">individuals with an interest in taking action against </w:t>
      </w:r>
      <w:r w:rsidRPr="008A1B32">
        <w:rPr>
          <w:rFonts w:ascii="Times New Roman" w:hAnsi="Times New Roman"/>
          <w:sz w:val="24"/>
          <w:szCs w:val="24"/>
          <w:lang w:val="en-GB"/>
        </w:rPr>
        <w:t xml:space="preserve">measures that address them or that directly and individually concern them, and by certain specialised bodies such as the Court of Auditors, the European Central Bank and the Committee of the Regions for the purpose of protecting their prerogatives. Moreover, the </w:t>
      </w:r>
      <w:r w:rsidRPr="003D634E">
        <w:rPr>
          <w:rFonts w:ascii="Times New Roman" w:hAnsi="Times New Roman"/>
          <w:sz w:val="24"/>
          <w:szCs w:val="24"/>
          <w:lang w:val="en-GB"/>
        </w:rPr>
        <w:t>Court of Justice</w:t>
      </w:r>
      <w:r w:rsidRPr="008A1B32">
        <w:rPr>
          <w:rFonts w:ascii="Times New Roman" w:hAnsi="Times New Roman"/>
          <w:sz w:val="24"/>
          <w:szCs w:val="24"/>
          <w:lang w:val="en-GB"/>
        </w:rPr>
        <w:t xml:space="preserve"> would serve as a constitutional court in the preliminary proceedings on the validity of EU law: under Article 267</w:t>
      </w:r>
      <w:r>
        <w:rPr>
          <w:rFonts w:ascii="Times New Roman" w:hAnsi="Times New Roman"/>
          <w:sz w:val="24"/>
          <w:szCs w:val="24"/>
          <w:lang w:val="en-GB"/>
        </w:rPr>
        <w:t>(1)</w:t>
      </w:r>
      <w:r w:rsidRPr="008A1B32">
        <w:rPr>
          <w:rFonts w:ascii="Times New Roman" w:hAnsi="Times New Roman"/>
          <w:sz w:val="24"/>
          <w:szCs w:val="24"/>
          <w:lang w:val="en-GB"/>
        </w:rPr>
        <w:t>(b) TFEU, where a</w:t>
      </w:r>
      <w:r w:rsidRPr="00813E2C">
        <w:rPr>
          <w:rFonts w:ascii="Times New Roman" w:hAnsi="Times New Roman"/>
          <w:sz w:val="24"/>
          <w:szCs w:val="24"/>
          <w:lang w:val="en-GB"/>
        </w:rPr>
        <w:t xml:space="preserve"> question on the validity of acts of the EU institutions is raised before a national court, that court may (or must, if it is a court of last instance) request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to give a ruling thereon. </w:t>
      </w:r>
    </w:p>
    <w:p w:rsidR="005E6612"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W</w:t>
      </w:r>
      <w:r w:rsidRPr="00813E2C">
        <w:rPr>
          <w:rFonts w:ascii="Times New Roman" w:hAnsi="Times New Roman"/>
          <w:sz w:val="24"/>
          <w:szCs w:val="24"/>
          <w:lang w:val="en-GB"/>
        </w:rPr>
        <w:t>ith regard to annulment proceedings and preliminary proceedings on the validity of EU law</w:t>
      </w:r>
      <w:r>
        <w:rPr>
          <w:rFonts w:ascii="Times New Roman" w:hAnsi="Times New Roman"/>
          <w:sz w:val="24"/>
          <w:szCs w:val="24"/>
          <w:lang w:val="en-GB"/>
        </w:rPr>
        <w:t xml:space="preserve">, one can </w:t>
      </w:r>
      <w:r w:rsidRPr="00CD71EE">
        <w:rPr>
          <w:rFonts w:ascii="Times New Roman" w:hAnsi="Times New Roman"/>
          <w:sz w:val="24"/>
          <w:szCs w:val="24"/>
          <w:lang w:val="en-GB"/>
        </w:rPr>
        <w:t xml:space="preserve">safely </w:t>
      </w:r>
      <w:r>
        <w:rPr>
          <w:rFonts w:ascii="Times New Roman" w:hAnsi="Times New Roman"/>
          <w:sz w:val="24"/>
          <w:szCs w:val="24"/>
          <w:lang w:val="en-GB"/>
        </w:rPr>
        <w:t xml:space="preserve">say that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is </w:t>
      </w:r>
      <w:r>
        <w:rPr>
          <w:rFonts w:ascii="Times New Roman" w:hAnsi="Times New Roman"/>
          <w:sz w:val="24"/>
          <w:szCs w:val="24"/>
          <w:lang w:val="en-GB"/>
        </w:rPr>
        <w:t xml:space="preserve">a </w:t>
      </w:r>
      <w:r w:rsidRPr="00813E2C">
        <w:rPr>
          <w:rFonts w:ascii="Times New Roman" w:hAnsi="Times New Roman"/>
          <w:i/>
          <w:sz w:val="24"/>
          <w:szCs w:val="24"/>
          <w:lang w:val="en-GB"/>
        </w:rPr>
        <w:t>sensu stricto</w:t>
      </w:r>
      <w:r>
        <w:rPr>
          <w:rFonts w:ascii="Times New Roman" w:hAnsi="Times New Roman"/>
          <w:sz w:val="24"/>
          <w:szCs w:val="24"/>
          <w:lang w:val="en-GB"/>
        </w:rPr>
        <w:t xml:space="preserve"> constitutional court. It is </w:t>
      </w:r>
      <w:r w:rsidRPr="00813E2C">
        <w:rPr>
          <w:rFonts w:ascii="Times New Roman" w:hAnsi="Times New Roman"/>
          <w:sz w:val="24"/>
          <w:szCs w:val="24"/>
          <w:lang w:val="en-GB"/>
        </w:rPr>
        <w:t xml:space="preserve">the highest court of the EU legal order which has the task of adjudication on the validity of </w:t>
      </w:r>
      <w:r>
        <w:rPr>
          <w:rFonts w:ascii="Times New Roman" w:hAnsi="Times New Roman"/>
          <w:sz w:val="24"/>
          <w:szCs w:val="24"/>
          <w:lang w:val="en-GB"/>
        </w:rPr>
        <w:t xml:space="preserve">all </w:t>
      </w:r>
      <w:r w:rsidRPr="00813E2C">
        <w:rPr>
          <w:rFonts w:ascii="Times New Roman" w:hAnsi="Times New Roman"/>
          <w:sz w:val="24"/>
          <w:szCs w:val="24"/>
          <w:lang w:val="en-GB"/>
        </w:rPr>
        <w:t xml:space="preserve">norms </w:t>
      </w:r>
      <w:r>
        <w:rPr>
          <w:rFonts w:ascii="Times New Roman" w:hAnsi="Times New Roman"/>
          <w:sz w:val="24"/>
          <w:szCs w:val="24"/>
          <w:lang w:val="en-GB"/>
        </w:rPr>
        <w:t>of that legal order by reference to its</w:t>
      </w:r>
      <w:r w:rsidRPr="00813E2C">
        <w:rPr>
          <w:rFonts w:ascii="Times New Roman" w:hAnsi="Times New Roman"/>
          <w:sz w:val="24"/>
          <w:szCs w:val="24"/>
          <w:lang w:val="en-GB"/>
        </w:rPr>
        <w:t xml:space="preserve"> </w:t>
      </w:r>
      <w:r>
        <w:rPr>
          <w:rFonts w:ascii="Times New Roman" w:hAnsi="Times New Roman"/>
          <w:sz w:val="24"/>
          <w:szCs w:val="24"/>
          <w:lang w:val="en-GB"/>
        </w:rPr>
        <w:t>highest law – the Treaties; it</w:t>
      </w:r>
      <w:r w:rsidRPr="00813E2C">
        <w:rPr>
          <w:rFonts w:ascii="Times New Roman" w:hAnsi="Times New Roman"/>
          <w:sz w:val="24"/>
          <w:szCs w:val="24"/>
          <w:lang w:val="en-GB"/>
        </w:rPr>
        <w:t>s jurisdiction is exclusive as no other court (except the G</w:t>
      </w:r>
      <w:r>
        <w:rPr>
          <w:rFonts w:ascii="Times New Roman" w:hAnsi="Times New Roman"/>
          <w:sz w:val="24"/>
          <w:szCs w:val="24"/>
          <w:lang w:val="en-GB"/>
        </w:rPr>
        <w:t>eneral Court</w:t>
      </w:r>
      <w:r w:rsidRPr="00813E2C">
        <w:rPr>
          <w:rFonts w:ascii="Times New Roman" w:hAnsi="Times New Roman"/>
          <w:sz w:val="24"/>
          <w:szCs w:val="24"/>
          <w:lang w:val="en-GB"/>
        </w:rPr>
        <w:t xml:space="preserve">, which is </w:t>
      </w:r>
      <w:r>
        <w:rPr>
          <w:rFonts w:ascii="Times New Roman" w:hAnsi="Times New Roman"/>
          <w:sz w:val="24"/>
          <w:szCs w:val="24"/>
          <w:lang w:val="en-GB"/>
        </w:rPr>
        <w:t xml:space="preserve">subject to review by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has the competence to annul EU legislation</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6"/>
      </w:r>
      <w:r w:rsidRPr="00813E2C">
        <w:rPr>
          <w:rFonts w:ascii="Times New Roman" w:hAnsi="Times New Roman"/>
          <w:sz w:val="24"/>
          <w:szCs w:val="24"/>
          <w:lang w:val="en-GB"/>
        </w:rPr>
        <w:t xml:space="preserve"> </w:t>
      </w:r>
    </w:p>
    <w:p w:rsidR="005E6612"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(ii) A</w:t>
      </w:r>
      <w:r w:rsidRPr="00813E2C">
        <w:rPr>
          <w:rFonts w:ascii="Times New Roman" w:hAnsi="Times New Roman"/>
          <w:sz w:val="24"/>
          <w:szCs w:val="24"/>
          <w:lang w:val="en-GB"/>
        </w:rPr>
        <w:t xml:space="preserve">ccording to a widespread and well-grounded opinion, </w:t>
      </w:r>
      <w:r>
        <w:rPr>
          <w:rFonts w:ascii="Times New Roman" w:hAnsi="Times New Roman"/>
          <w:sz w:val="24"/>
          <w:szCs w:val="24"/>
          <w:lang w:val="en-GB"/>
        </w:rPr>
        <w:t xml:space="preserve">however, </w:t>
      </w:r>
      <w:r w:rsidRPr="00813E2C">
        <w:rPr>
          <w:rFonts w:ascii="Times New Roman" w:hAnsi="Times New Roman"/>
          <w:sz w:val="24"/>
          <w:szCs w:val="24"/>
          <w:lang w:val="en-GB"/>
        </w:rPr>
        <w:t xml:space="preserve">it is not in annulment proceedings that the Court has exercised or has acquired its constitutional status, nor is it in preliminary ruling proceedings on the validity of EU law.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has become a </w:t>
      </w:r>
      <w:r w:rsidRPr="00813E2C">
        <w:rPr>
          <w:rFonts w:ascii="Times New Roman" w:hAnsi="Times New Roman"/>
          <w:i/>
          <w:sz w:val="24"/>
          <w:szCs w:val="24"/>
          <w:lang w:val="en-GB"/>
        </w:rPr>
        <w:t xml:space="preserve">sensu lato </w:t>
      </w:r>
      <w:r w:rsidRPr="00813E2C">
        <w:rPr>
          <w:rFonts w:ascii="Times New Roman" w:hAnsi="Times New Roman"/>
          <w:sz w:val="24"/>
          <w:szCs w:val="24"/>
          <w:lang w:val="en-GB"/>
        </w:rPr>
        <w:t>constitutional court</w:t>
      </w:r>
      <w:r>
        <w:rPr>
          <w:rFonts w:ascii="Times New Roman" w:hAnsi="Times New Roman"/>
          <w:sz w:val="24"/>
          <w:szCs w:val="24"/>
          <w:lang w:val="en-GB"/>
        </w:rPr>
        <w:t xml:space="preserve">, or a </w:t>
      </w:r>
      <w:r>
        <w:rPr>
          <w:rFonts w:ascii="Times New Roman" w:hAnsi="Times New Roman"/>
          <w:i/>
          <w:sz w:val="24"/>
          <w:szCs w:val="24"/>
          <w:lang w:val="en-GB"/>
        </w:rPr>
        <w:t xml:space="preserve">sui generis </w:t>
      </w:r>
      <w:r w:rsidRPr="00813E2C">
        <w:rPr>
          <w:rFonts w:ascii="Times New Roman" w:hAnsi="Times New Roman"/>
          <w:sz w:val="24"/>
          <w:szCs w:val="24"/>
          <w:lang w:val="en-GB"/>
        </w:rPr>
        <w:t>constitutional court</w:t>
      </w:r>
      <w:r>
        <w:rPr>
          <w:rFonts w:ascii="Times New Roman" w:hAnsi="Times New Roman"/>
          <w:sz w:val="24"/>
          <w:szCs w:val="24"/>
          <w:lang w:val="en-GB"/>
        </w:rPr>
        <w:t>,</w:t>
      </w:r>
      <w:r w:rsidRPr="00813E2C">
        <w:rPr>
          <w:rFonts w:ascii="Times New Roman" w:hAnsi="Times New Roman"/>
          <w:sz w:val="24"/>
          <w:szCs w:val="24"/>
          <w:lang w:val="en-GB"/>
        </w:rPr>
        <w:t xml:space="preserve"> mainly thanks to the powers it exercises in preliminary ruling proceedings on the interpretation of Community law. Under Article </w:t>
      </w:r>
      <w:r w:rsidRPr="00813E2C">
        <w:rPr>
          <w:rFonts w:ascii="Times New Roman" w:hAnsi="Times New Roman"/>
          <w:sz w:val="24"/>
          <w:szCs w:val="24"/>
          <w:lang w:val="en-GB"/>
        </w:rPr>
        <w:lastRenderedPageBreak/>
        <w:t>267</w:t>
      </w:r>
      <w:r>
        <w:rPr>
          <w:rFonts w:ascii="Times New Roman" w:hAnsi="Times New Roman"/>
          <w:sz w:val="24"/>
          <w:szCs w:val="24"/>
          <w:lang w:val="en-GB"/>
        </w:rPr>
        <w:t>(1)</w:t>
      </w:r>
      <w:r w:rsidRPr="00813E2C">
        <w:rPr>
          <w:rFonts w:ascii="Times New Roman" w:hAnsi="Times New Roman"/>
          <w:sz w:val="24"/>
          <w:szCs w:val="24"/>
          <w:lang w:val="en-GB"/>
        </w:rPr>
        <w:t xml:space="preserve">(a) TFEU, when a national court has any doubt about the meaning of EU law, it may (or must, if it is a court of last instance) initiate a preliminary ruling proceeding referring the question of interpretation to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Thanks to this kind of proceedings,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has been able to develop a constructive and mutual relationship (a </w:t>
      </w:r>
      <w:r>
        <w:rPr>
          <w:rFonts w:ascii="Times New Roman" w:hAnsi="Times New Roman"/>
          <w:sz w:val="24"/>
          <w:szCs w:val="24"/>
          <w:lang w:val="en-GB"/>
        </w:rPr>
        <w:t>‘</w:t>
      </w:r>
      <w:r w:rsidRPr="00813E2C">
        <w:rPr>
          <w:rFonts w:ascii="Times New Roman" w:hAnsi="Times New Roman"/>
          <w:sz w:val="24"/>
          <w:szCs w:val="24"/>
          <w:lang w:val="en-GB"/>
        </w:rPr>
        <w:t>dialogue</w:t>
      </w:r>
      <w:r>
        <w:rPr>
          <w:rFonts w:ascii="Times New Roman" w:hAnsi="Times New Roman"/>
          <w:sz w:val="24"/>
          <w:szCs w:val="24"/>
          <w:lang w:val="en-GB"/>
        </w:rPr>
        <w:t>’</w:t>
      </w:r>
      <w:r w:rsidRPr="00813E2C">
        <w:rPr>
          <w:rFonts w:ascii="Times New Roman" w:hAnsi="Times New Roman"/>
          <w:sz w:val="24"/>
          <w:szCs w:val="24"/>
          <w:lang w:val="en-GB"/>
        </w:rPr>
        <w:t xml:space="preserve">, as it has become customary to say) with the national courts, which means that the European and the national courts have collaborated in shaping the content and Community law “in action” without establishing a formal hierarchical relationship between themselves;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has initiated a process of “constitutionalisation” of the European Treaties making it acceptable to the national courts</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7"/>
      </w:r>
      <w:r w:rsidRPr="00813E2C">
        <w:rPr>
          <w:rFonts w:ascii="Times New Roman" w:hAnsi="Times New Roman"/>
          <w:sz w:val="24"/>
          <w:szCs w:val="24"/>
          <w:lang w:val="en-GB"/>
        </w:rPr>
        <w:t xml:space="preserve"> Thanks to the preliminary ruling proceedings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has gradually laid the basis and eventually established its most authentic and significant constitutional status.</w:t>
      </w:r>
    </w:p>
    <w:p w:rsidR="005E6612"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W</w:t>
      </w:r>
      <w:r w:rsidRPr="00813E2C">
        <w:rPr>
          <w:rFonts w:ascii="Times New Roman" w:hAnsi="Times New Roman"/>
          <w:sz w:val="24"/>
          <w:szCs w:val="24"/>
          <w:lang w:val="en-GB"/>
        </w:rPr>
        <w:t xml:space="preserve">hen we speak here of the constitutional status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in the preliminary interpretative rulings, the word </w:t>
      </w:r>
      <w:r>
        <w:rPr>
          <w:rFonts w:ascii="Times New Roman" w:hAnsi="Times New Roman"/>
          <w:sz w:val="24"/>
          <w:szCs w:val="24"/>
          <w:lang w:val="en-GB"/>
        </w:rPr>
        <w:t>‘</w:t>
      </w:r>
      <w:r w:rsidRPr="00813E2C">
        <w:rPr>
          <w:rFonts w:ascii="Times New Roman" w:hAnsi="Times New Roman"/>
          <w:sz w:val="24"/>
          <w:szCs w:val="24"/>
          <w:lang w:val="en-GB"/>
        </w:rPr>
        <w:t>constitutional</w:t>
      </w:r>
      <w:r>
        <w:rPr>
          <w:rFonts w:ascii="Times New Roman" w:hAnsi="Times New Roman"/>
          <w:sz w:val="24"/>
          <w:szCs w:val="24"/>
          <w:lang w:val="en-GB"/>
        </w:rPr>
        <w:t>’</w:t>
      </w:r>
      <w:r w:rsidRPr="00813E2C">
        <w:rPr>
          <w:rFonts w:ascii="Times New Roman" w:hAnsi="Times New Roman"/>
          <w:sz w:val="24"/>
          <w:szCs w:val="24"/>
          <w:lang w:val="en-GB"/>
        </w:rPr>
        <w:t xml:space="preserve"> </w:t>
      </w:r>
      <w:r>
        <w:rPr>
          <w:rFonts w:ascii="Times New Roman" w:hAnsi="Times New Roman"/>
          <w:sz w:val="24"/>
          <w:szCs w:val="24"/>
          <w:lang w:val="en-GB"/>
        </w:rPr>
        <w:t>is</w:t>
      </w:r>
      <w:r w:rsidRPr="00813E2C">
        <w:rPr>
          <w:rFonts w:ascii="Times New Roman" w:hAnsi="Times New Roman"/>
          <w:sz w:val="24"/>
          <w:szCs w:val="24"/>
          <w:lang w:val="en-GB"/>
        </w:rPr>
        <w:t xml:space="preserve"> not employed in </w:t>
      </w:r>
      <w:r>
        <w:rPr>
          <w:rFonts w:ascii="Times New Roman" w:hAnsi="Times New Roman"/>
          <w:sz w:val="24"/>
          <w:szCs w:val="24"/>
          <w:lang w:val="en-GB"/>
        </w:rPr>
        <w:t>its</w:t>
      </w:r>
      <w:r w:rsidRPr="00813E2C">
        <w:rPr>
          <w:rFonts w:ascii="Times New Roman" w:hAnsi="Times New Roman"/>
          <w:sz w:val="24"/>
          <w:szCs w:val="24"/>
          <w:lang w:val="en-GB"/>
        </w:rPr>
        <w:t xml:space="preserve"> non-technical sense –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as </w:t>
      </w:r>
      <w:r>
        <w:rPr>
          <w:rFonts w:ascii="Times New Roman" w:hAnsi="Times New Roman"/>
          <w:sz w:val="24"/>
          <w:szCs w:val="24"/>
          <w:lang w:val="en-GB"/>
        </w:rPr>
        <w:t>a ‘</w:t>
      </w:r>
      <w:r w:rsidRPr="00813E2C">
        <w:rPr>
          <w:rFonts w:ascii="Times New Roman" w:hAnsi="Times New Roman"/>
          <w:sz w:val="24"/>
          <w:szCs w:val="24"/>
          <w:lang w:val="en-GB"/>
        </w:rPr>
        <w:t>very important</w:t>
      </w:r>
      <w:r>
        <w:rPr>
          <w:rFonts w:ascii="Times New Roman" w:hAnsi="Times New Roman"/>
          <w:sz w:val="24"/>
          <w:szCs w:val="24"/>
          <w:lang w:val="en-GB"/>
        </w:rPr>
        <w:t>’</w:t>
      </w:r>
      <w:r w:rsidRPr="00813E2C">
        <w:rPr>
          <w:rFonts w:ascii="Times New Roman" w:hAnsi="Times New Roman"/>
          <w:sz w:val="24"/>
          <w:szCs w:val="24"/>
          <w:lang w:val="en-GB"/>
        </w:rPr>
        <w:t xml:space="preserve"> judge – but in </w:t>
      </w:r>
      <w:r>
        <w:rPr>
          <w:rFonts w:ascii="Times New Roman" w:hAnsi="Times New Roman"/>
          <w:sz w:val="24"/>
          <w:szCs w:val="24"/>
          <w:lang w:val="en-GB"/>
        </w:rPr>
        <w:t xml:space="preserve">its technical meaning, and </w:t>
      </w:r>
      <w:r w:rsidRPr="00813E2C">
        <w:rPr>
          <w:rFonts w:ascii="Times New Roman" w:hAnsi="Times New Roman"/>
          <w:sz w:val="24"/>
          <w:szCs w:val="24"/>
          <w:lang w:val="en-GB"/>
        </w:rPr>
        <w:t>the legal order whose norms are evaluated against the constitution is no longer limited to the legal order of the EU strictly conceived, as it happens in annulment proceedings and in preliminary procee</w:t>
      </w:r>
      <w:r>
        <w:rPr>
          <w:rFonts w:ascii="Times New Roman" w:hAnsi="Times New Roman"/>
          <w:sz w:val="24"/>
          <w:szCs w:val="24"/>
          <w:lang w:val="en-GB"/>
        </w:rPr>
        <w:t xml:space="preserve">dings on the validity of EU law, but </w:t>
      </w:r>
      <w:r w:rsidRPr="00813E2C">
        <w:rPr>
          <w:rFonts w:ascii="Times New Roman" w:hAnsi="Times New Roman"/>
          <w:sz w:val="24"/>
          <w:szCs w:val="24"/>
          <w:lang w:val="en-GB"/>
        </w:rPr>
        <w:t xml:space="preserve">is </w:t>
      </w:r>
      <w:r>
        <w:rPr>
          <w:rFonts w:ascii="Times New Roman" w:hAnsi="Times New Roman"/>
          <w:sz w:val="24"/>
          <w:szCs w:val="24"/>
          <w:lang w:val="en-GB"/>
        </w:rPr>
        <w:t xml:space="preserve">inclusive </w:t>
      </w:r>
      <w:r w:rsidRPr="00813E2C">
        <w:rPr>
          <w:rFonts w:ascii="Times New Roman" w:hAnsi="Times New Roman"/>
          <w:sz w:val="24"/>
          <w:szCs w:val="24"/>
          <w:lang w:val="en-GB"/>
        </w:rPr>
        <w:t xml:space="preserve">of the legal order of the Member States. In fact, </w:t>
      </w:r>
      <w:r>
        <w:rPr>
          <w:rFonts w:ascii="Times New Roman" w:hAnsi="Times New Roman"/>
          <w:sz w:val="24"/>
          <w:szCs w:val="24"/>
          <w:lang w:val="en-GB"/>
        </w:rPr>
        <w:t>once</w:t>
      </w:r>
      <w:r w:rsidRPr="00813E2C">
        <w:rPr>
          <w:rFonts w:ascii="Times New Roman" w:hAnsi="Times New Roman"/>
          <w:sz w:val="24"/>
          <w:szCs w:val="24"/>
          <w:lang w:val="en-GB"/>
        </w:rPr>
        <w:t xml:space="preserve"> the national courts in principle accepted the doctrines of direct effect and supremacy of European law,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w:t>
      </w:r>
      <w:r>
        <w:rPr>
          <w:rFonts w:ascii="Times New Roman" w:hAnsi="Times New Roman"/>
          <w:sz w:val="24"/>
          <w:szCs w:val="24"/>
          <w:lang w:val="en-GB"/>
        </w:rPr>
        <w:t>became</w:t>
      </w:r>
      <w:r w:rsidRPr="00813E2C">
        <w:rPr>
          <w:rFonts w:ascii="Times New Roman" w:hAnsi="Times New Roman"/>
          <w:sz w:val="24"/>
          <w:szCs w:val="24"/>
          <w:lang w:val="en-GB"/>
        </w:rPr>
        <w:t xml:space="preserve"> </w:t>
      </w:r>
      <w:r w:rsidRPr="00813E2C">
        <w:rPr>
          <w:rFonts w:ascii="Times New Roman" w:hAnsi="Times New Roman"/>
          <w:i/>
          <w:sz w:val="24"/>
          <w:szCs w:val="24"/>
          <w:lang w:val="en-GB"/>
        </w:rPr>
        <w:t>de facto</w:t>
      </w:r>
      <w:r w:rsidRPr="00813E2C">
        <w:rPr>
          <w:rFonts w:ascii="Times New Roman" w:hAnsi="Times New Roman"/>
          <w:sz w:val="24"/>
          <w:szCs w:val="24"/>
          <w:lang w:val="en-GB"/>
        </w:rPr>
        <w:t xml:space="preserve"> empowered to assess, by means of the preliminary ruling proceedings, not only the validity of EU law but also the conformity to EU law of Member States’ legislation and practices</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8"/>
      </w:r>
      <w:r w:rsidRPr="00813E2C">
        <w:rPr>
          <w:rFonts w:ascii="Times New Roman" w:hAnsi="Times New Roman"/>
          <w:sz w:val="24"/>
          <w:szCs w:val="24"/>
          <w:lang w:val="en-GB"/>
        </w:rPr>
        <w:t xml:space="preserve"> </w:t>
      </w:r>
    </w:p>
    <w:p w:rsidR="005E6612"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I</w:t>
      </w:r>
      <w:r w:rsidRPr="00813E2C">
        <w:rPr>
          <w:rFonts w:ascii="Times New Roman" w:hAnsi="Times New Roman"/>
          <w:sz w:val="24"/>
          <w:szCs w:val="24"/>
          <w:lang w:val="en-GB"/>
        </w:rPr>
        <w:t xml:space="preserve">n preliminary ruling proceedings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is not competent to assess the validity of national legislation</w:t>
      </w:r>
      <w:r>
        <w:rPr>
          <w:rFonts w:ascii="Times New Roman" w:hAnsi="Times New Roman"/>
          <w:sz w:val="24"/>
          <w:szCs w:val="24"/>
          <w:lang w:val="en-GB"/>
        </w:rPr>
        <w:t xml:space="preserve">. However, </w:t>
      </w:r>
      <w:r w:rsidRPr="00813E2C">
        <w:rPr>
          <w:rFonts w:ascii="Times New Roman" w:hAnsi="Times New Roman"/>
          <w:sz w:val="24"/>
          <w:szCs w:val="24"/>
          <w:lang w:val="en-GB"/>
        </w:rPr>
        <w:t xml:space="preserve">by interpreting EU law </w:t>
      </w:r>
      <w:r>
        <w:rPr>
          <w:rFonts w:ascii="Times New Roman" w:hAnsi="Times New Roman"/>
          <w:sz w:val="24"/>
          <w:szCs w:val="24"/>
          <w:lang w:val="en-GB"/>
        </w:rPr>
        <w:t xml:space="preserve">it </w:t>
      </w:r>
      <w:r w:rsidRPr="00813E2C">
        <w:rPr>
          <w:rFonts w:ascii="Times New Roman" w:hAnsi="Times New Roman"/>
          <w:sz w:val="24"/>
          <w:szCs w:val="24"/>
          <w:lang w:val="en-GB"/>
        </w:rPr>
        <w:t xml:space="preserve">can indirectly but unequivocally rule on Member States’ compliance. </w:t>
      </w:r>
      <w:r>
        <w:rPr>
          <w:rFonts w:ascii="Times New Roman" w:hAnsi="Times New Roman"/>
          <w:sz w:val="24"/>
          <w:szCs w:val="24"/>
          <w:lang w:val="en-GB"/>
        </w:rPr>
        <w:t>T</w:t>
      </w:r>
      <w:r w:rsidRPr="001739A8">
        <w:rPr>
          <w:rFonts w:ascii="Times New Roman" w:hAnsi="Times New Roman"/>
          <w:sz w:val="24"/>
          <w:szCs w:val="24"/>
          <w:lang w:val="en-GB"/>
        </w:rPr>
        <w:t>hanks to the enduring cooperation of the national courts</w:t>
      </w:r>
      <w:r>
        <w:rPr>
          <w:rFonts w:ascii="Times New Roman" w:hAnsi="Times New Roman"/>
          <w:sz w:val="24"/>
          <w:szCs w:val="24"/>
          <w:lang w:val="en-GB"/>
        </w:rPr>
        <w:t xml:space="preserve">, </w:t>
      </w:r>
      <w:r w:rsidRPr="001739A8">
        <w:rPr>
          <w:rFonts w:ascii="Times New Roman" w:hAnsi="Times New Roman"/>
          <w:sz w:val="24"/>
          <w:szCs w:val="24"/>
          <w:lang w:val="en-GB"/>
        </w:rPr>
        <w:t xml:space="preserve">their </w:t>
      </w:r>
      <w:r w:rsidRPr="001739A8">
        <w:rPr>
          <w:rFonts w:ascii="Times New Roman" w:hAnsi="Times New Roman"/>
          <w:iCs/>
          <w:sz w:val="24"/>
          <w:szCs w:val="24"/>
          <w:lang w:val="en-GB"/>
        </w:rPr>
        <w:t>willingness</w:t>
      </w:r>
      <w:r w:rsidRPr="001739A8">
        <w:rPr>
          <w:rFonts w:ascii="Times New Roman" w:hAnsi="Times New Roman"/>
          <w:i/>
          <w:iCs/>
          <w:sz w:val="24"/>
          <w:szCs w:val="24"/>
          <w:lang w:val="en-GB"/>
        </w:rPr>
        <w:t xml:space="preserve"> </w:t>
      </w:r>
      <w:r w:rsidRPr="001739A8">
        <w:rPr>
          <w:rFonts w:ascii="Times New Roman" w:hAnsi="Times New Roman"/>
          <w:iCs/>
          <w:sz w:val="24"/>
          <w:szCs w:val="24"/>
          <w:lang w:val="en-GB"/>
        </w:rPr>
        <w:t>to</w:t>
      </w:r>
      <w:r w:rsidRPr="001739A8">
        <w:rPr>
          <w:rFonts w:ascii="Times New Roman" w:hAnsi="Times New Roman"/>
          <w:sz w:val="24"/>
          <w:szCs w:val="24"/>
          <w:lang w:val="en-GB"/>
        </w:rPr>
        <w:t xml:space="preserve"> refer questions for </w:t>
      </w:r>
      <w:r w:rsidRPr="001739A8">
        <w:rPr>
          <w:rFonts w:ascii="Times New Roman" w:hAnsi="Times New Roman"/>
          <w:iCs/>
          <w:sz w:val="24"/>
          <w:szCs w:val="24"/>
          <w:lang w:val="en-GB"/>
        </w:rPr>
        <w:t>preliminary</w:t>
      </w:r>
      <w:r w:rsidRPr="001739A8">
        <w:rPr>
          <w:rFonts w:ascii="Times New Roman" w:hAnsi="Times New Roman"/>
          <w:sz w:val="24"/>
          <w:szCs w:val="24"/>
          <w:lang w:val="en-GB"/>
        </w:rPr>
        <w:t xml:space="preserve"> rulings</w:t>
      </w:r>
      <w:r>
        <w:rPr>
          <w:rFonts w:ascii="Times New Roman" w:hAnsi="Times New Roman"/>
          <w:sz w:val="24"/>
          <w:szCs w:val="24"/>
          <w:lang w:val="en-GB"/>
        </w:rPr>
        <w:t xml:space="preserve"> and </w:t>
      </w:r>
      <w:r w:rsidRPr="001739A8">
        <w:rPr>
          <w:rFonts w:ascii="Times New Roman" w:hAnsi="Times New Roman"/>
          <w:sz w:val="24"/>
          <w:szCs w:val="24"/>
          <w:lang w:val="en-GB"/>
        </w:rPr>
        <w:t>their acceptance of supremacy of EU law</w:t>
      </w:r>
      <w:r>
        <w:rPr>
          <w:rFonts w:ascii="Times New Roman" w:hAnsi="Times New Roman"/>
          <w:sz w:val="24"/>
          <w:szCs w:val="24"/>
          <w:lang w:val="en-GB"/>
        </w:rPr>
        <w:t>, the Court of Justice</w:t>
      </w:r>
      <w:r w:rsidRPr="00813E2C">
        <w:rPr>
          <w:rFonts w:ascii="Times New Roman" w:hAnsi="Times New Roman"/>
          <w:sz w:val="24"/>
          <w:szCs w:val="24"/>
          <w:lang w:val="en-GB"/>
        </w:rPr>
        <w:t xml:space="preserve"> eva</w:t>
      </w:r>
      <w:r>
        <w:rPr>
          <w:rFonts w:ascii="Times New Roman" w:hAnsi="Times New Roman"/>
          <w:sz w:val="24"/>
          <w:szCs w:val="24"/>
          <w:lang w:val="en-GB"/>
        </w:rPr>
        <w:t xml:space="preserve">luates the ‘European validity’ </w:t>
      </w:r>
      <w:r w:rsidRPr="00813E2C">
        <w:rPr>
          <w:rFonts w:ascii="Times New Roman" w:hAnsi="Times New Roman"/>
          <w:sz w:val="24"/>
          <w:szCs w:val="24"/>
          <w:lang w:val="en-GB"/>
        </w:rPr>
        <w:t>of national legislation and practises</w:t>
      </w:r>
      <w:r>
        <w:rPr>
          <w:rFonts w:ascii="Times New Roman" w:hAnsi="Times New Roman"/>
          <w:sz w:val="24"/>
          <w:szCs w:val="24"/>
          <w:lang w:val="en-GB"/>
        </w:rPr>
        <w:t xml:space="preserve">: its </w:t>
      </w:r>
      <w:r w:rsidRPr="001739A8">
        <w:rPr>
          <w:rFonts w:ascii="Times New Roman" w:hAnsi="Times New Roman"/>
          <w:iCs/>
          <w:sz w:val="24"/>
          <w:szCs w:val="24"/>
          <w:lang w:val="en-GB"/>
        </w:rPr>
        <w:t>interpretative</w:t>
      </w:r>
      <w:r w:rsidRPr="001739A8">
        <w:rPr>
          <w:rFonts w:ascii="Times New Roman" w:hAnsi="Times New Roman"/>
          <w:i/>
          <w:iCs/>
          <w:sz w:val="24"/>
          <w:szCs w:val="24"/>
          <w:lang w:val="en-GB"/>
        </w:rPr>
        <w:t xml:space="preserve"> </w:t>
      </w:r>
      <w:r w:rsidRPr="001739A8">
        <w:rPr>
          <w:rFonts w:ascii="Times New Roman" w:hAnsi="Times New Roman"/>
          <w:sz w:val="24"/>
          <w:szCs w:val="24"/>
          <w:lang w:val="en-GB"/>
        </w:rPr>
        <w:t>judgments</w:t>
      </w:r>
      <w:r>
        <w:rPr>
          <w:rFonts w:ascii="Times New Roman" w:hAnsi="Times New Roman"/>
          <w:sz w:val="24"/>
          <w:szCs w:val="24"/>
          <w:lang w:val="en-GB"/>
        </w:rPr>
        <w:t xml:space="preserve"> of the </w:t>
      </w:r>
      <w:r w:rsidRPr="003D634E">
        <w:rPr>
          <w:rFonts w:ascii="Times New Roman" w:hAnsi="Times New Roman"/>
          <w:sz w:val="24"/>
          <w:szCs w:val="24"/>
          <w:lang w:val="en-GB"/>
        </w:rPr>
        <w:t>Court of Justice</w:t>
      </w:r>
      <w:r>
        <w:rPr>
          <w:rFonts w:ascii="Times New Roman" w:hAnsi="Times New Roman"/>
          <w:sz w:val="24"/>
          <w:szCs w:val="24"/>
          <w:lang w:val="en-GB"/>
        </w:rPr>
        <w:t xml:space="preserve"> can render </w:t>
      </w:r>
      <w:r w:rsidRPr="00813E2C">
        <w:rPr>
          <w:rFonts w:ascii="Times New Roman" w:hAnsi="Times New Roman"/>
          <w:sz w:val="24"/>
          <w:szCs w:val="24"/>
          <w:lang w:val="en-GB"/>
        </w:rPr>
        <w:t xml:space="preserve">national law inapplicable in the case at hand and, indirectly, </w:t>
      </w:r>
      <w:r w:rsidRPr="00813E2C">
        <w:rPr>
          <w:rFonts w:ascii="Times New Roman" w:hAnsi="Times New Roman"/>
          <w:i/>
          <w:sz w:val="24"/>
          <w:szCs w:val="24"/>
          <w:lang w:val="en-GB"/>
        </w:rPr>
        <w:t>erga omnes</w:t>
      </w:r>
      <w:r>
        <w:rPr>
          <w:rFonts w:ascii="Times New Roman" w:hAnsi="Times New Roman"/>
          <w:sz w:val="24"/>
          <w:szCs w:val="24"/>
          <w:lang w:val="en-GB"/>
        </w:rPr>
        <w:t xml:space="preserve">. Therefore, </w:t>
      </w:r>
      <w:r w:rsidRPr="00813E2C">
        <w:rPr>
          <w:rFonts w:ascii="Times New Roman" w:hAnsi="Times New Roman"/>
          <w:sz w:val="24"/>
          <w:szCs w:val="24"/>
          <w:lang w:val="en-GB"/>
        </w:rPr>
        <w:t xml:space="preserve">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is not only the constitutional court of the EU, but is the constitutional court – or, to say it better, </w:t>
      </w:r>
      <w:r w:rsidRPr="00813E2C">
        <w:rPr>
          <w:rFonts w:ascii="Times New Roman" w:hAnsi="Times New Roman"/>
          <w:i/>
          <w:iCs/>
          <w:sz w:val="24"/>
          <w:szCs w:val="24"/>
          <w:lang w:val="en-GB"/>
        </w:rPr>
        <w:t>a</w:t>
      </w:r>
      <w:r w:rsidRPr="00813E2C">
        <w:rPr>
          <w:rFonts w:ascii="Times New Roman" w:hAnsi="Times New Roman"/>
          <w:sz w:val="24"/>
          <w:szCs w:val="24"/>
          <w:lang w:val="en-GB"/>
        </w:rPr>
        <w:t xml:space="preserve"> constitutional court: one among many </w:t>
      </w:r>
      <w:r>
        <w:rPr>
          <w:rFonts w:ascii="Times New Roman" w:hAnsi="Times New Roman"/>
          <w:sz w:val="24"/>
          <w:szCs w:val="24"/>
          <w:lang w:val="en-GB"/>
        </w:rPr>
        <w:t>– of the European ‘legal space’;</w:t>
      </w:r>
      <w:r w:rsidRPr="00813E2C">
        <w:rPr>
          <w:rFonts w:ascii="Times New Roman" w:hAnsi="Times New Roman"/>
          <w:sz w:val="24"/>
          <w:szCs w:val="24"/>
          <w:lang w:val="en-GB"/>
        </w:rPr>
        <w:t xml:space="preserve"> a legal space that is comprehensive both of the EU legal order and of the legal orders of the Member States</w:t>
      </w:r>
      <w:r>
        <w:rPr>
          <w:rFonts w:ascii="Times New Roman" w:hAnsi="Times New Roman"/>
          <w:sz w:val="24"/>
          <w:szCs w:val="24"/>
          <w:lang w:val="en-GB"/>
        </w:rPr>
        <w:t>, and that is not hierarchically structured</w:t>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The </w:t>
      </w:r>
      <w:r w:rsidRPr="00813E2C">
        <w:rPr>
          <w:rFonts w:ascii="Times New Roman" w:hAnsi="Times New Roman"/>
          <w:i/>
          <w:sz w:val="24"/>
          <w:szCs w:val="24"/>
          <w:lang w:val="en-GB"/>
        </w:rPr>
        <w:t>sensu lato</w:t>
      </w:r>
      <w:r w:rsidRPr="00813E2C">
        <w:rPr>
          <w:rFonts w:ascii="Times New Roman" w:hAnsi="Times New Roman"/>
          <w:sz w:val="24"/>
          <w:szCs w:val="24"/>
          <w:lang w:val="en-GB"/>
        </w:rPr>
        <w:t xml:space="preserve"> constitutional jurisdiction </w:t>
      </w:r>
      <w:r>
        <w:rPr>
          <w:rFonts w:ascii="Times New Roman" w:hAnsi="Times New Roman"/>
          <w:sz w:val="24"/>
          <w:szCs w:val="24"/>
          <w:lang w:val="en-GB"/>
        </w:rPr>
        <w:t xml:space="preserve">of the </w:t>
      </w:r>
      <w:r w:rsidRPr="003D634E">
        <w:rPr>
          <w:rFonts w:ascii="Times New Roman" w:hAnsi="Times New Roman"/>
          <w:sz w:val="24"/>
          <w:szCs w:val="24"/>
          <w:lang w:val="en-GB"/>
        </w:rPr>
        <w:t>Court of Justice</w:t>
      </w:r>
      <w:r>
        <w:rPr>
          <w:rFonts w:ascii="Times New Roman" w:hAnsi="Times New Roman"/>
          <w:sz w:val="24"/>
          <w:szCs w:val="24"/>
          <w:lang w:val="en-GB"/>
        </w:rPr>
        <w:t xml:space="preserve"> </w:t>
      </w:r>
      <w:r w:rsidRPr="00813E2C">
        <w:rPr>
          <w:rFonts w:ascii="Times New Roman" w:hAnsi="Times New Roman"/>
          <w:sz w:val="24"/>
          <w:szCs w:val="24"/>
          <w:lang w:val="en-GB"/>
        </w:rPr>
        <w:t>is not exclusive, because the competence to annul national legislation belon</w:t>
      </w:r>
      <w:r>
        <w:rPr>
          <w:rFonts w:ascii="Times New Roman" w:hAnsi="Times New Roman"/>
          <w:sz w:val="24"/>
          <w:szCs w:val="24"/>
          <w:lang w:val="en-GB"/>
        </w:rPr>
        <w:t xml:space="preserve">gs primarily to national courts. Moreover, national courts </w:t>
      </w:r>
      <w:r w:rsidRPr="00813E2C">
        <w:rPr>
          <w:rFonts w:ascii="Times New Roman" w:hAnsi="Times New Roman"/>
          <w:sz w:val="24"/>
          <w:szCs w:val="24"/>
          <w:lang w:val="en-GB"/>
        </w:rPr>
        <w:t xml:space="preserve">are also generally competent, if not to annul EU legislation, at least to suspend its applicability when it is deemed to be incompatible with fundamental domestic constitutional provisions or with the national legislators’ explicit decision of withdrawing from their European obligations. </w:t>
      </w:r>
      <w:r>
        <w:rPr>
          <w:rFonts w:ascii="Times New Roman" w:hAnsi="Times New Roman"/>
          <w:sz w:val="24"/>
          <w:szCs w:val="24"/>
          <w:lang w:val="en-GB"/>
        </w:rPr>
        <w:t>Thus, i</w:t>
      </w:r>
      <w:r w:rsidRPr="00813E2C">
        <w:rPr>
          <w:rFonts w:ascii="Times New Roman" w:hAnsi="Times New Roman"/>
          <w:sz w:val="24"/>
          <w:szCs w:val="24"/>
          <w:lang w:val="en-GB"/>
        </w:rPr>
        <w:t xml:space="preserve">n its capacity as </w:t>
      </w:r>
      <w:r w:rsidRPr="00813E2C">
        <w:rPr>
          <w:rFonts w:ascii="Times New Roman" w:hAnsi="Times New Roman"/>
          <w:i/>
          <w:sz w:val="24"/>
          <w:szCs w:val="24"/>
          <w:lang w:val="en-GB"/>
        </w:rPr>
        <w:t>sensu lato</w:t>
      </w:r>
      <w:r w:rsidRPr="00813E2C">
        <w:rPr>
          <w:rFonts w:ascii="Times New Roman" w:hAnsi="Times New Roman"/>
          <w:sz w:val="24"/>
          <w:szCs w:val="24"/>
          <w:lang w:val="en-GB"/>
        </w:rPr>
        <w:t xml:space="preserve"> constitutional court of the European legal space, the </w:t>
      </w:r>
      <w:r w:rsidRPr="003D634E">
        <w:rPr>
          <w:rFonts w:ascii="Times New Roman" w:hAnsi="Times New Roman"/>
          <w:sz w:val="24"/>
          <w:szCs w:val="24"/>
          <w:lang w:val="en-GB"/>
        </w:rPr>
        <w:lastRenderedPageBreak/>
        <w:t>Court of Justice</w:t>
      </w:r>
      <w:r w:rsidRPr="00813E2C">
        <w:rPr>
          <w:rFonts w:ascii="Times New Roman" w:hAnsi="Times New Roman"/>
          <w:sz w:val="24"/>
          <w:szCs w:val="24"/>
          <w:lang w:val="en-GB"/>
        </w:rPr>
        <w:t xml:space="preserve"> is not alone but shares its responsibility with other courts – with the constitutional courts of the Member States and, indirectly, with the European Court of Huma</w:t>
      </w:r>
      <w:r>
        <w:rPr>
          <w:rFonts w:ascii="Times New Roman" w:hAnsi="Times New Roman"/>
          <w:sz w:val="24"/>
          <w:szCs w:val="24"/>
          <w:lang w:val="en-GB"/>
        </w:rPr>
        <w:t>n Rights. I</w:t>
      </w:r>
      <w:r w:rsidRPr="00813E2C">
        <w:rPr>
          <w:rFonts w:ascii="Times New Roman" w:hAnsi="Times New Roman"/>
          <w:sz w:val="24"/>
          <w:szCs w:val="24"/>
          <w:lang w:val="en-GB"/>
        </w:rPr>
        <w:t xml:space="preserve">t is not the highest court of the legal order, but it is one of several high courts of justice of the European constitutional space. </w:t>
      </w:r>
      <w:r w:rsidRPr="00E74020">
        <w:rPr>
          <w:rFonts w:ascii="Times New Roman" w:hAnsi="Times New Roman"/>
          <w:sz w:val="24"/>
          <w:szCs w:val="24"/>
          <w:lang w:val="en-GB"/>
        </w:rPr>
        <w:t xml:space="preserve">To put it in the usual irreplaceable way, it is a </w:t>
      </w:r>
      <w:r w:rsidRPr="00E74020">
        <w:rPr>
          <w:rFonts w:ascii="Times New Roman" w:hAnsi="Times New Roman"/>
          <w:i/>
          <w:sz w:val="24"/>
          <w:szCs w:val="24"/>
          <w:lang w:val="en-GB"/>
        </w:rPr>
        <w:t>sui generis</w:t>
      </w:r>
      <w:r w:rsidRPr="00E74020">
        <w:rPr>
          <w:rFonts w:ascii="Times New Roman" w:hAnsi="Times New Roman"/>
          <w:sz w:val="24"/>
          <w:szCs w:val="24"/>
          <w:lang w:val="en-GB"/>
        </w:rPr>
        <w:t xml:space="preserve"> </w:t>
      </w:r>
      <w:r>
        <w:rPr>
          <w:rFonts w:ascii="Times New Roman" w:hAnsi="Times New Roman"/>
          <w:sz w:val="24"/>
          <w:szCs w:val="24"/>
          <w:lang w:val="en-GB"/>
        </w:rPr>
        <w:t xml:space="preserve">constitutional </w:t>
      </w:r>
      <w:r w:rsidRPr="00E74020">
        <w:rPr>
          <w:rFonts w:ascii="Times New Roman" w:hAnsi="Times New Roman"/>
          <w:sz w:val="24"/>
          <w:szCs w:val="24"/>
          <w:lang w:val="en-GB"/>
        </w:rPr>
        <w:t>court.</w:t>
      </w:r>
    </w:p>
    <w:p w:rsidR="005E6612" w:rsidRPr="00813E2C"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(iii) W</w:t>
      </w:r>
      <w:r w:rsidRPr="00813E2C">
        <w:rPr>
          <w:rFonts w:ascii="Times New Roman" w:hAnsi="Times New Roman"/>
          <w:sz w:val="24"/>
          <w:szCs w:val="24"/>
          <w:lang w:val="en-GB"/>
        </w:rPr>
        <w:t>ith regard to its functions as an international court</w:t>
      </w:r>
      <w:r>
        <w:rPr>
          <w:rFonts w:ascii="Times New Roman" w:hAnsi="Times New Roman"/>
          <w:sz w:val="24"/>
          <w:szCs w:val="24"/>
          <w:lang w:val="en-GB"/>
        </w:rPr>
        <w:t xml:space="preserve">, </w:t>
      </w:r>
      <w:r w:rsidRPr="00813E2C">
        <w:rPr>
          <w:rFonts w:ascii="Times New Roman" w:hAnsi="Times New Roman"/>
          <w:sz w:val="24"/>
          <w:szCs w:val="24"/>
          <w:lang w:val="en-GB"/>
        </w:rPr>
        <w:t xml:space="preserve">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has an exclusive and mandatory jurisdiction on the controversies arising between the Member States of</w:t>
      </w:r>
      <w:r>
        <w:rPr>
          <w:rFonts w:ascii="Times New Roman" w:hAnsi="Times New Roman"/>
          <w:sz w:val="24"/>
          <w:szCs w:val="24"/>
          <w:lang w:val="en-GB"/>
        </w:rPr>
        <w:t xml:space="preserve"> the EU. However, Member States have used </w:t>
      </w:r>
      <w:r w:rsidRPr="00813E2C">
        <w:rPr>
          <w:rFonts w:ascii="Times New Roman" w:hAnsi="Times New Roman"/>
          <w:sz w:val="24"/>
          <w:szCs w:val="24"/>
          <w:lang w:val="en-GB"/>
        </w:rPr>
        <w:t>very rarely</w:t>
      </w:r>
      <w:r>
        <w:rPr>
          <w:rFonts w:ascii="Times New Roman" w:hAnsi="Times New Roman"/>
          <w:sz w:val="24"/>
          <w:szCs w:val="24"/>
          <w:lang w:val="en-GB"/>
        </w:rPr>
        <w:t xml:space="preserve"> their </w:t>
      </w:r>
      <w:r w:rsidRPr="00813E2C">
        <w:rPr>
          <w:rFonts w:ascii="Times New Roman" w:hAnsi="Times New Roman"/>
          <w:sz w:val="24"/>
          <w:szCs w:val="24"/>
          <w:lang w:val="en-GB"/>
        </w:rPr>
        <w:t>power to bring a case against other Member States</w:t>
      </w:r>
      <w:r>
        <w:rPr>
          <w:rStyle w:val="Rimandonotaapidipagina"/>
          <w:rFonts w:ascii="Times New Roman" w:hAnsi="Times New Roman"/>
          <w:sz w:val="24"/>
          <w:szCs w:val="24"/>
          <w:lang w:val="en-GB"/>
        </w:rPr>
        <w:footnoteReference w:id="9"/>
      </w:r>
      <w:r w:rsidRPr="00813E2C">
        <w:rPr>
          <w:rFonts w:ascii="Times New Roman" w:hAnsi="Times New Roman"/>
          <w:sz w:val="24"/>
          <w:szCs w:val="24"/>
          <w:lang w:val="en-GB"/>
        </w:rPr>
        <w:t xml:space="preserve">. In practice, infringement proceedings are </w:t>
      </w:r>
      <w:r>
        <w:rPr>
          <w:rFonts w:ascii="Times New Roman" w:hAnsi="Times New Roman"/>
          <w:sz w:val="24"/>
          <w:szCs w:val="24"/>
          <w:lang w:val="en-GB"/>
        </w:rPr>
        <w:t xml:space="preserve">almost always </w:t>
      </w:r>
      <w:r w:rsidRPr="00813E2C">
        <w:rPr>
          <w:rFonts w:ascii="Times New Roman" w:hAnsi="Times New Roman"/>
          <w:sz w:val="24"/>
          <w:szCs w:val="24"/>
          <w:lang w:val="en-GB"/>
        </w:rPr>
        <w:t xml:space="preserve">initiated by the Commission which acts </w:t>
      </w:r>
      <w:r w:rsidRPr="00813E2C">
        <w:rPr>
          <w:rFonts w:ascii="Times New Roman" w:hAnsi="Times New Roman"/>
          <w:i/>
          <w:sz w:val="24"/>
          <w:szCs w:val="24"/>
          <w:lang w:val="en-GB"/>
        </w:rPr>
        <w:t>motu proprio</w:t>
      </w:r>
      <w:r w:rsidRPr="00813E2C">
        <w:rPr>
          <w:rFonts w:ascii="Times New Roman" w:hAnsi="Times New Roman"/>
          <w:sz w:val="24"/>
          <w:szCs w:val="24"/>
          <w:lang w:val="en-GB"/>
        </w:rPr>
        <w:t xml:space="preserve"> or at the solicitation of individuals, businesses and associations, and which enjoys a full discretionary power to assess whether the action is appropriate and suitable from a political as well as legal point of view. The convicted Member States are under the obligation to comply with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’s rulings, although the </w:t>
      </w:r>
      <w:r>
        <w:rPr>
          <w:rFonts w:ascii="Times New Roman" w:hAnsi="Times New Roman"/>
          <w:sz w:val="24"/>
          <w:szCs w:val="24"/>
          <w:lang w:val="en-GB"/>
        </w:rPr>
        <w:t>judgme</w:t>
      </w:r>
      <w:r w:rsidRPr="00813E2C">
        <w:rPr>
          <w:rFonts w:ascii="Times New Roman" w:hAnsi="Times New Roman"/>
          <w:sz w:val="24"/>
          <w:szCs w:val="24"/>
          <w:lang w:val="en-GB"/>
        </w:rPr>
        <w:t xml:space="preserve">nts of the court are declaratory in nature, not self-executing, and therefore do not give rise to any immediate legal consequence in Member States. </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In order to give the Member States an incentive to abide by the </w:t>
      </w:r>
      <w:r>
        <w:rPr>
          <w:rFonts w:ascii="Times New Roman" w:hAnsi="Times New Roman"/>
          <w:sz w:val="24"/>
          <w:szCs w:val="24"/>
          <w:lang w:val="en-GB"/>
        </w:rPr>
        <w:t>judgme</w:t>
      </w:r>
      <w:r w:rsidRPr="00813E2C">
        <w:rPr>
          <w:rFonts w:ascii="Times New Roman" w:hAnsi="Times New Roman"/>
          <w:sz w:val="24"/>
          <w:szCs w:val="24"/>
          <w:lang w:val="en-GB"/>
        </w:rPr>
        <w:t xml:space="preserve">nts of the Court, the Treaty of Maastricht gave the Court the power to impose financial sanctions on the Member State concerned. Moreover,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has held in the </w:t>
      </w:r>
      <w:r w:rsidRPr="00813E2C">
        <w:rPr>
          <w:rFonts w:ascii="Times New Roman" w:hAnsi="Times New Roman"/>
          <w:i/>
          <w:sz w:val="24"/>
          <w:szCs w:val="24"/>
          <w:lang w:val="en-GB"/>
        </w:rPr>
        <w:t>Francovich</w:t>
      </w:r>
      <w:r>
        <w:rPr>
          <w:rFonts w:ascii="Times New Roman" w:hAnsi="Times New Roman"/>
          <w:sz w:val="24"/>
          <w:szCs w:val="24"/>
          <w:lang w:val="en-GB"/>
        </w:rPr>
        <w:t xml:space="preserve"> </w:t>
      </w:r>
      <w:r w:rsidRPr="00813E2C">
        <w:rPr>
          <w:rFonts w:ascii="Times New Roman" w:hAnsi="Times New Roman"/>
          <w:sz w:val="24"/>
          <w:szCs w:val="24"/>
          <w:lang w:val="en-GB"/>
        </w:rPr>
        <w:t xml:space="preserve">case </w:t>
      </w:r>
      <w:r>
        <w:rPr>
          <w:rFonts w:ascii="Times New Roman" w:hAnsi="Times New Roman"/>
          <w:sz w:val="24"/>
          <w:szCs w:val="24"/>
          <w:lang w:val="en-GB"/>
        </w:rPr>
        <w:t xml:space="preserve">(1995) </w:t>
      </w:r>
      <w:r w:rsidRPr="00813E2C">
        <w:rPr>
          <w:rFonts w:ascii="Times New Roman" w:hAnsi="Times New Roman"/>
          <w:sz w:val="24"/>
          <w:szCs w:val="24"/>
          <w:lang w:val="en-GB"/>
        </w:rPr>
        <w:t xml:space="preserve">that the Member States are liable to compensate individuals and companies for damage caused by breaches of EU law. So, if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can be considered as an international court, then we must conclude that it is an extraordinarily effective, </w:t>
      </w:r>
      <w:r w:rsidRPr="00813E2C">
        <w:rPr>
          <w:rFonts w:ascii="Times New Roman" w:hAnsi="Times New Roman"/>
          <w:i/>
          <w:sz w:val="24"/>
          <w:szCs w:val="24"/>
          <w:lang w:val="en-GB"/>
        </w:rPr>
        <w:t>sui generis</w:t>
      </w:r>
      <w:r w:rsidRPr="00813E2C">
        <w:rPr>
          <w:rFonts w:ascii="Times New Roman" w:hAnsi="Times New Roman"/>
          <w:sz w:val="24"/>
          <w:szCs w:val="24"/>
          <w:lang w:val="en-GB"/>
        </w:rPr>
        <w:t xml:space="preserve"> one.</w:t>
      </w:r>
    </w:p>
    <w:p w:rsidR="005E6612" w:rsidRPr="00813E2C"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(iv) </w:t>
      </w:r>
      <w:r w:rsidRPr="00813E2C">
        <w:rPr>
          <w:rFonts w:ascii="Times New Roman" w:hAnsi="Times New Roman"/>
          <w:sz w:val="24"/>
          <w:szCs w:val="24"/>
          <w:lang w:val="en-GB"/>
        </w:rPr>
        <w:t xml:space="preserve">Other forms of jurisdiction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that can be associated with the action for annulment – and thus with the </w:t>
      </w:r>
      <w:r w:rsidRPr="00813E2C">
        <w:rPr>
          <w:rFonts w:ascii="Times New Roman" w:hAnsi="Times New Roman"/>
          <w:i/>
          <w:sz w:val="24"/>
          <w:szCs w:val="24"/>
          <w:lang w:val="en-GB"/>
        </w:rPr>
        <w:t xml:space="preserve">sensu stricto </w:t>
      </w:r>
      <w:r w:rsidRPr="00813E2C">
        <w:rPr>
          <w:rFonts w:ascii="Times New Roman" w:hAnsi="Times New Roman"/>
          <w:sz w:val="24"/>
          <w:szCs w:val="24"/>
          <w:lang w:val="en-GB"/>
        </w:rPr>
        <w:t xml:space="preserve">constitutional competences of the Court – are the actions for failure to act and the advisory jurisdiction to give opinions on the lawfulness of the international agreements concluded by the EU. </w:t>
      </w:r>
      <w:r>
        <w:rPr>
          <w:rFonts w:ascii="Times New Roman" w:hAnsi="Times New Roman"/>
          <w:sz w:val="24"/>
          <w:szCs w:val="24"/>
          <w:lang w:val="en-GB"/>
        </w:rPr>
        <w:t xml:space="preserve">Both cases consist </w:t>
      </w:r>
      <w:r w:rsidRPr="00813E2C">
        <w:rPr>
          <w:rFonts w:ascii="Times New Roman" w:hAnsi="Times New Roman"/>
          <w:sz w:val="24"/>
          <w:szCs w:val="24"/>
          <w:lang w:val="en-GB"/>
        </w:rPr>
        <w:t xml:space="preserve">of forms of judicial review on the (in)activity of EU institutions made in accordance with the standards established by the highest law, the Treaties. </w:t>
      </w:r>
      <w:r>
        <w:rPr>
          <w:rFonts w:ascii="Times New Roman" w:hAnsi="Times New Roman"/>
          <w:sz w:val="24"/>
          <w:szCs w:val="24"/>
          <w:lang w:val="en-GB"/>
        </w:rPr>
        <w:t xml:space="preserve">Note that </w:t>
      </w:r>
      <w:r w:rsidRPr="00813E2C">
        <w:rPr>
          <w:rFonts w:ascii="Times New Roman" w:hAnsi="Times New Roman"/>
          <w:sz w:val="24"/>
          <w:szCs w:val="24"/>
          <w:lang w:val="en-GB"/>
        </w:rPr>
        <w:t>the opinion</w:t>
      </w:r>
      <w:r>
        <w:rPr>
          <w:rFonts w:ascii="Times New Roman" w:hAnsi="Times New Roman"/>
          <w:sz w:val="24"/>
          <w:szCs w:val="24"/>
          <w:lang w:val="en-GB"/>
        </w:rPr>
        <w:t>s</w:t>
      </w:r>
      <w:r w:rsidRPr="00813E2C">
        <w:rPr>
          <w:rFonts w:ascii="Times New Roman" w:hAnsi="Times New Roman"/>
          <w:sz w:val="24"/>
          <w:szCs w:val="24"/>
          <w:lang w:val="en-GB"/>
        </w:rPr>
        <w:t xml:space="preserve"> of the Court </w:t>
      </w:r>
      <w:r>
        <w:rPr>
          <w:rFonts w:ascii="Times New Roman" w:hAnsi="Times New Roman"/>
          <w:sz w:val="24"/>
          <w:szCs w:val="24"/>
          <w:lang w:val="en-GB"/>
        </w:rPr>
        <w:t xml:space="preserve">are </w:t>
      </w:r>
      <w:r w:rsidRPr="00813E2C">
        <w:rPr>
          <w:rFonts w:ascii="Times New Roman" w:hAnsi="Times New Roman"/>
          <w:sz w:val="24"/>
          <w:szCs w:val="24"/>
          <w:lang w:val="en-GB"/>
        </w:rPr>
        <w:t xml:space="preserve">binding upon the institutions of the EU and, where </w:t>
      </w:r>
      <w:r>
        <w:rPr>
          <w:rFonts w:ascii="Times New Roman" w:hAnsi="Times New Roman"/>
          <w:sz w:val="24"/>
          <w:szCs w:val="24"/>
          <w:lang w:val="en-GB"/>
        </w:rPr>
        <w:t>they are</w:t>
      </w:r>
      <w:r w:rsidRPr="00813E2C">
        <w:rPr>
          <w:rFonts w:ascii="Times New Roman" w:hAnsi="Times New Roman"/>
          <w:sz w:val="24"/>
          <w:szCs w:val="24"/>
          <w:lang w:val="en-GB"/>
        </w:rPr>
        <w:t xml:space="preserve"> adverse, the </w:t>
      </w:r>
      <w:r>
        <w:rPr>
          <w:rFonts w:ascii="Times New Roman" w:hAnsi="Times New Roman"/>
          <w:sz w:val="24"/>
          <w:szCs w:val="24"/>
          <w:lang w:val="en-GB"/>
        </w:rPr>
        <w:t xml:space="preserve">international </w:t>
      </w:r>
      <w:r w:rsidRPr="00813E2C">
        <w:rPr>
          <w:rFonts w:ascii="Times New Roman" w:hAnsi="Times New Roman"/>
          <w:sz w:val="24"/>
          <w:szCs w:val="24"/>
          <w:lang w:val="en-GB"/>
        </w:rPr>
        <w:t>agreement</w:t>
      </w:r>
      <w:r>
        <w:rPr>
          <w:rFonts w:ascii="Times New Roman" w:hAnsi="Times New Roman"/>
          <w:sz w:val="24"/>
          <w:szCs w:val="24"/>
          <w:lang w:val="en-GB"/>
        </w:rPr>
        <w:t xml:space="preserve">s </w:t>
      </w:r>
      <w:r w:rsidRPr="00813E2C">
        <w:rPr>
          <w:rFonts w:ascii="Times New Roman" w:hAnsi="Times New Roman"/>
          <w:sz w:val="24"/>
          <w:szCs w:val="24"/>
          <w:lang w:val="en-GB"/>
        </w:rPr>
        <w:t>cannot en</w:t>
      </w:r>
      <w:r>
        <w:rPr>
          <w:rFonts w:ascii="Times New Roman" w:hAnsi="Times New Roman"/>
          <w:sz w:val="24"/>
          <w:szCs w:val="24"/>
          <w:lang w:val="en-GB"/>
        </w:rPr>
        <w:t>ter into force unless the Treaties are</w:t>
      </w:r>
      <w:r w:rsidRPr="00813E2C">
        <w:rPr>
          <w:rFonts w:ascii="Times New Roman" w:hAnsi="Times New Roman"/>
          <w:sz w:val="24"/>
          <w:szCs w:val="24"/>
          <w:lang w:val="en-GB"/>
        </w:rPr>
        <w:t xml:space="preserve"> amended. Thus, the powers of the Court in this respect are identical to those of a preventive and abstract constitutional review. </w:t>
      </w:r>
    </w:p>
    <w:p w:rsidR="005E6612" w:rsidRPr="00813E2C"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Moreover, t</w:t>
      </w:r>
      <w:r w:rsidRPr="00813E2C">
        <w:rPr>
          <w:rFonts w:ascii="Times New Roman" w:hAnsi="Times New Roman"/>
          <w:sz w:val="24"/>
          <w:szCs w:val="24"/>
          <w:lang w:val="en-GB"/>
        </w:rPr>
        <w:t xml:space="preserve">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is an appellate court </w:t>
      </w:r>
      <w:r>
        <w:rPr>
          <w:rFonts w:ascii="Times New Roman" w:hAnsi="Times New Roman"/>
          <w:sz w:val="24"/>
          <w:szCs w:val="24"/>
          <w:lang w:val="en-GB"/>
        </w:rPr>
        <w:t>(</w:t>
      </w:r>
      <w:r w:rsidRPr="00813E2C">
        <w:rPr>
          <w:rFonts w:ascii="Times New Roman" w:hAnsi="Times New Roman"/>
          <w:sz w:val="24"/>
          <w:szCs w:val="24"/>
          <w:lang w:val="en-GB"/>
        </w:rPr>
        <w:t>on point of law only</w:t>
      </w:r>
      <w:r>
        <w:rPr>
          <w:rFonts w:ascii="Times New Roman" w:hAnsi="Times New Roman"/>
          <w:sz w:val="24"/>
          <w:szCs w:val="24"/>
          <w:lang w:val="en-GB"/>
        </w:rPr>
        <w:t xml:space="preserve">) </w:t>
      </w:r>
      <w:r w:rsidRPr="00813E2C">
        <w:rPr>
          <w:rFonts w:ascii="Times New Roman" w:hAnsi="Times New Roman"/>
          <w:sz w:val="24"/>
          <w:szCs w:val="24"/>
          <w:lang w:val="en-GB"/>
        </w:rPr>
        <w:t>a</w:t>
      </w:r>
      <w:r>
        <w:rPr>
          <w:rFonts w:ascii="Times New Roman" w:hAnsi="Times New Roman"/>
          <w:sz w:val="24"/>
          <w:szCs w:val="24"/>
          <w:lang w:val="en-GB"/>
        </w:rPr>
        <w:t xml:space="preserve">gainst the decisions of the GC, which has </w:t>
      </w:r>
      <w:r w:rsidRPr="00813E2C">
        <w:rPr>
          <w:rFonts w:ascii="Times New Roman" w:hAnsi="Times New Roman"/>
          <w:sz w:val="24"/>
          <w:szCs w:val="24"/>
          <w:lang w:val="en-GB"/>
        </w:rPr>
        <w:t xml:space="preserve">jurisdiction, amongst other matters of minor importance, over actions for annulment and failure to act brought by </w:t>
      </w:r>
      <w:r>
        <w:rPr>
          <w:rFonts w:ascii="Times New Roman" w:hAnsi="Times New Roman"/>
          <w:sz w:val="24"/>
          <w:szCs w:val="24"/>
          <w:lang w:val="en-GB"/>
        </w:rPr>
        <w:t xml:space="preserve">individuals and </w:t>
      </w:r>
      <w:r w:rsidRPr="00813E2C">
        <w:rPr>
          <w:rFonts w:ascii="Times New Roman" w:hAnsi="Times New Roman"/>
          <w:bCs/>
          <w:sz w:val="24"/>
          <w:szCs w:val="24"/>
          <w:lang w:val="en-GB"/>
        </w:rPr>
        <w:t>by the Member States against the Commission</w:t>
      </w:r>
      <w:r w:rsidRPr="00813E2C">
        <w:rPr>
          <w:rFonts w:ascii="Times New Roman" w:hAnsi="Times New Roman"/>
          <w:sz w:val="24"/>
          <w:szCs w:val="24"/>
          <w:lang w:val="en-GB"/>
        </w:rPr>
        <w:t xml:space="preserve"> and in ce</w:t>
      </w:r>
      <w:r>
        <w:rPr>
          <w:rFonts w:ascii="Times New Roman" w:hAnsi="Times New Roman"/>
          <w:sz w:val="24"/>
          <w:szCs w:val="24"/>
          <w:lang w:val="en-GB"/>
        </w:rPr>
        <w:t>rtain cases against the Council</w:t>
      </w:r>
      <w:r w:rsidRPr="00813E2C">
        <w:rPr>
          <w:rFonts w:ascii="Times New Roman" w:hAnsi="Times New Roman"/>
          <w:sz w:val="24"/>
          <w:szCs w:val="24"/>
          <w:lang w:val="en-GB"/>
        </w:rPr>
        <w:t>.</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There is no doubt, however, that the most important competence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is the power to give a preliminary ruling on the validity and interpretation of EU law when requested by a national court. The preliminary ruling procedure is the central instrument for judicial control of the EU</w:t>
      </w:r>
      <w:r>
        <w:rPr>
          <w:rFonts w:ascii="Times New Roman" w:hAnsi="Times New Roman"/>
          <w:sz w:val="24"/>
          <w:szCs w:val="24"/>
          <w:lang w:val="en-GB"/>
        </w:rPr>
        <w:t>. T</w:t>
      </w:r>
      <w:r w:rsidRPr="00813E2C">
        <w:rPr>
          <w:rFonts w:ascii="Times New Roman" w:hAnsi="Times New Roman"/>
          <w:sz w:val="24"/>
          <w:szCs w:val="24"/>
          <w:lang w:val="en-GB"/>
        </w:rPr>
        <w:t xml:space="preserve">his procedural channel between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and the national judges is vital in order to achieve the uniform application of EU law over all of Europe. Moreover, the viability of </w:t>
      </w:r>
      <w:r>
        <w:rPr>
          <w:rFonts w:ascii="Times New Roman" w:hAnsi="Times New Roman"/>
          <w:sz w:val="24"/>
          <w:szCs w:val="24"/>
          <w:lang w:val="en-GB"/>
        </w:rPr>
        <w:t>the p</w:t>
      </w:r>
      <w:r w:rsidRPr="00813E2C">
        <w:rPr>
          <w:rFonts w:ascii="Times New Roman" w:hAnsi="Times New Roman"/>
          <w:sz w:val="24"/>
          <w:szCs w:val="24"/>
          <w:lang w:val="en-GB"/>
        </w:rPr>
        <w:t xml:space="preserve">reliminary ruling procedure transforms all citizens into potential guardians of compliance with EU law, therefore contributing not only to the uniformity but also to the effectiveness of EU law enforcement. </w:t>
      </w:r>
    </w:p>
    <w:p w:rsidR="005E6612" w:rsidRPr="00813E2C"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The </w:t>
      </w:r>
      <w:r w:rsidRPr="003D634E">
        <w:rPr>
          <w:rFonts w:ascii="Times New Roman" w:hAnsi="Times New Roman"/>
          <w:sz w:val="24"/>
          <w:szCs w:val="24"/>
          <w:lang w:val="en-GB"/>
        </w:rPr>
        <w:t>Court of Justice</w:t>
      </w:r>
      <w:r>
        <w:rPr>
          <w:rFonts w:ascii="Times New Roman" w:hAnsi="Times New Roman"/>
          <w:sz w:val="24"/>
          <w:szCs w:val="24"/>
          <w:lang w:val="en-GB"/>
        </w:rPr>
        <w:t xml:space="preserve"> has given most of its </w:t>
      </w:r>
      <w:r w:rsidRPr="00813E2C">
        <w:rPr>
          <w:rFonts w:ascii="Times New Roman" w:hAnsi="Times New Roman"/>
          <w:sz w:val="24"/>
          <w:szCs w:val="24"/>
          <w:lang w:val="en-GB"/>
        </w:rPr>
        <w:t xml:space="preserve">landmark </w:t>
      </w:r>
      <w:r>
        <w:rPr>
          <w:rFonts w:ascii="Times New Roman" w:hAnsi="Times New Roman"/>
          <w:sz w:val="24"/>
          <w:szCs w:val="24"/>
          <w:lang w:val="en-GB"/>
        </w:rPr>
        <w:t>judgme</w:t>
      </w:r>
      <w:r w:rsidRPr="00813E2C">
        <w:rPr>
          <w:rFonts w:ascii="Times New Roman" w:hAnsi="Times New Roman"/>
          <w:sz w:val="24"/>
          <w:szCs w:val="24"/>
          <w:lang w:val="en-GB"/>
        </w:rPr>
        <w:t>nts under this</w:t>
      </w:r>
      <w:r>
        <w:rPr>
          <w:rFonts w:ascii="Times New Roman" w:hAnsi="Times New Roman"/>
          <w:sz w:val="24"/>
          <w:szCs w:val="24"/>
          <w:lang w:val="en-GB"/>
        </w:rPr>
        <w:t xml:space="preserve"> head of jurisdiction. I</w:t>
      </w:r>
      <w:r w:rsidRPr="00813E2C">
        <w:rPr>
          <w:rFonts w:ascii="Times New Roman" w:hAnsi="Times New Roman"/>
          <w:sz w:val="24"/>
          <w:szCs w:val="24"/>
          <w:lang w:val="en-GB"/>
        </w:rPr>
        <w:t xml:space="preserve">t is revealing in this regard that in the sample of </w:t>
      </w:r>
      <w:r>
        <w:rPr>
          <w:rFonts w:ascii="Times New Roman" w:hAnsi="Times New Roman"/>
          <w:sz w:val="24"/>
          <w:szCs w:val="24"/>
          <w:lang w:val="en-GB"/>
        </w:rPr>
        <w:t>Great Cases analysed by this research</w:t>
      </w:r>
      <w:r w:rsidRPr="00813E2C">
        <w:rPr>
          <w:rFonts w:ascii="Times New Roman" w:hAnsi="Times New Roman"/>
          <w:sz w:val="24"/>
          <w:szCs w:val="24"/>
          <w:lang w:val="en-GB"/>
        </w:rPr>
        <w:t xml:space="preserve">, 32 are preliminary rulings on the interpretation of Community law, </w:t>
      </w:r>
      <w:r>
        <w:rPr>
          <w:rFonts w:ascii="Times New Roman" w:hAnsi="Times New Roman"/>
          <w:sz w:val="24"/>
          <w:szCs w:val="24"/>
          <w:lang w:val="en-GB"/>
        </w:rPr>
        <w:t>two</w:t>
      </w:r>
      <w:r w:rsidRPr="00813E2C">
        <w:rPr>
          <w:rFonts w:ascii="Times New Roman" w:hAnsi="Times New Roman"/>
          <w:sz w:val="24"/>
          <w:szCs w:val="24"/>
          <w:lang w:val="en-GB"/>
        </w:rPr>
        <w:t xml:space="preserve"> are preliminary rulings on its validity, </w:t>
      </w:r>
      <w:r>
        <w:rPr>
          <w:rFonts w:ascii="Times New Roman" w:hAnsi="Times New Roman"/>
          <w:sz w:val="24"/>
          <w:szCs w:val="24"/>
          <w:lang w:val="en-GB"/>
        </w:rPr>
        <w:t>one</w:t>
      </w:r>
      <w:r w:rsidRPr="00813E2C">
        <w:rPr>
          <w:rFonts w:ascii="Times New Roman" w:hAnsi="Times New Roman"/>
          <w:sz w:val="24"/>
          <w:szCs w:val="24"/>
          <w:lang w:val="en-GB"/>
        </w:rPr>
        <w:t xml:space="preserve"> is a preliminary ruling both on the interpretation and the validity of EC law, </w:t>
      </w:r>
      <w:r>
        <w:rPr>
          <w:rFonts w:ascii="Times New Roman" w:hAnsi="Times New Roman"/>
          <w:sz w:val="24"/>
          <w:szCs w:val="24"/>
          <w:lang w:val="en-GB"/>
        </w:rPr>
        <w:t>three</w:t>
      </w:r>
      <w:r w:rsidRPr="00813E2C">
        <w:rPr>
          <w:rFonts w:ascii="Times New Roman" w:hAnsi="Times New Roman"/>
          <w:sz w:val="24"/>
          <w:szCs w:val="24"/>
          <w:lang w:val="en-GB"/>
        </w:rPr>
        <w:t xml:space="preserve"> are </w:t>
      </w:r>
      <w:r w:rsidRPr="00813E2C">
        <w:rPr>
          <w:rFonts w:ascii="Times New Roman" w:hAnsi="Times New Roman"/>
          <w:sz w:val="24"/>
          <w:szCs w:val="24"/>
          <w:lang w:val="en-GB"/>
        </w:rPr>
        <w:lastRenderedPageBreak/>
        <w:t xml:space="preserve">decisions on annulment proceedings, </w:t>
      </w:r>
      <w:r>
        <w:rPr>
          <w:rFonts w:ascii="Times New Roman" w:hAnsi="Times New Roman"/>
          <w:sz w:val="24"/>
          <w:szCs w:val="24"/>
          <w:lang w:val="en-GB"/>
        </w:rPr>
        <w:t>one</w:t>
      </w:r>
      <w:r w:rsidRPr="00813E2C">
        <w:rPr>
          <w:rFonts w:ascii="Times New Roman" w:hAnsi="Times New Roman"/>
          <w:sz w:val="24"/>
          <w:szCs w:val="24"/>
          <w:lang w:val="en-GB"/>
        </w:rPr>
        <w:t xml:space="preserve"> is an opinion and </w:t>
      </w:r>
      <w:r>
        <w:rPr>
          <w:rFonts w:ascii="Times New Roman" w:hAnsi="Times New Roman"/>
          <w:sz w:val="24"/>
          <w:szCs w:val="24"/>
          <w:lang w:val="en-GB"/>
        </w:rPr>
        <w:t>one</w:t>
      </w:r>
      <w:r w:rsidRPr="00813E2C">
        <w:rPr>
          <w:rFonts w:ascii="Times New Roman" w:hAnsi="Times New Roman"/>
          <w:sz w:val="24"/>
          <w:szCs w:val="24"/>
          <w:lang w:val="en-GB"/>
        </w:rPr>
        <w:t xml:space="preserve"> is an appellate decision. No </w:t>
      </w:r>
      <w:r>
        <w:rPr>
          <w:rFonts w:ascii="Times New Roman" w:hAnsi="Times New Roman"/>
          <w:sz w:val="24"/>
          <w:szCs w:val="24"/>
          <w:lang w:val="en-GB"/>
        </w:rPr>
        <w:t>judgme</w:t>
      </w:r>
      <w:r w:rsidRPr="00813E2C">
        <w:rPr>
          <w:rFonts w:ascii="Times New Roman" w:hAnsi="Times New Roman"/>
          <w:sz w:val="24"/>
          <w:szCs w:val="24"/>
          <w:lang w:val="en-GB"/>
        </w:rPr>
        <w:t>nt gathered in the Sample was rendered in an infringement proce</w:t>
      </w:r>
      <w:r>
        <w:rPr>
          <w:rFonts w:ascii="Times New Roman" w:hAnsi="Times New Roman"/>
          <w:sz w:val="24"/>
          <w:szCs w:val="24"/>
          <w:lang w:val="en-GB"/>
        </w:rPr>
        <w:t>dure</w:t>
      </w:r>
      <w:r w:rsidRPr="00813E2C">
        <w:rPr>
          <w:rFonts w:ascii="Times New Roman" w:hAnsi="Times New Roman"/>
          <w:sz w:val="24"/>
          <w:szCs w:val="24"/>
          <w:lang w:val="en-GB"/>
        </w:rPr>
        <w:t>.</w:t>
      </w:r>
    </w:p>
    <w:p w:rsidR="005E6612" w:rsidRPr="00813E2C"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2</w:t>
      </w:r>
      <w:r w:rsidRPr="00813E2C">
        <w:rPr>
          <w:rFonts w:ascii="Times New Roman" w:hAnsi="Times New Roman"/>
          <w:sz w:val="24"/>
          <w:szCs w:val="24"/>
          <w:lang w:val="en-GB"/>
        </w:rPr>
        <w:t xml:space="preserve">. </w:t>
      </w:r>
      <w:r w:rsidRPr="00813E2C">
        <w:rPr>
          <w:rFonts w:ascii="Times New Roman" w:hAnsi="Times New Roman"/>
          <w:i/>
          <w:sz w:val="24"/>
          <w:szCs w:val="24"/>
          <w:lang w:val="en-GB"/>
        </w:rPr>
        <w:t>Access to the Court and workload, procedure and evidence</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does not have the discretionary power to refuse to review a case and must rule on all the cases lodged with its registry. </w:t>
      </w:r>
      <w:r>
        <w:rPr>
          <w:rFonts w:ascii="Times New Roman" w:hAnsi="Times New Roman"/>
          <w:sz w:val="24"/>
          <w:szCs w:val="24"/>
          <w:lang w:val="en-GB"/>
        </w:rPr>
        <w:t>As consequence, the Court has a very l</w:t>
      </w:r>
      <w:r w:rsidRPr="00813E2C">
        <w:rPr>
          <w:rFonts w:ascii="Times New Roman" w:hAnsi="Times New Roman"/>
          <w:sz w:val="24"/>
          <w:szCs w:val="24"/>
          <w:lang w:val="en-GB"/>
        </w:rPr>
        <w:t>imited capability to determine autonomously its workload</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0"/>
      </w:r>
      <w:r w:rsidRPr="00813E2C">
        <w:rPr>
          <w:rFonts w:ascii="Times New Roman" w:hAnsi="Times New Roman"/>
          <w:sz w:val="24"/>
          <w:szCs w:val="24"/>
          <w:lang w:val="en-GB"/>
        </w:rPr>
        <w:t xml:space="preserve"> Following the constant expansion of EU competences and the successive enlargements of the EU, the judicial activity of the Court has steadily increased over time. In the 1950s the Court had less than 50 new cases each year</w:t>
      </w:r>
      <w:r>
        <w:rPr>
          <w:rFonts w:ascii="Times New Roman" w:hAnsi="Times New Roman"/>
          <w:sz w:val="24"/>
          <w:szCs w:val="24"/>
          <w:lang w:val="en-GB"/>
        </w:rPr>
        <w:t>,</w:t>
      </w:r>
      <w:r w:rsidRPr="00813E2C">
        <w:rPr>
          <w:rFonts w:ascii="Times New Roman" w:hAnsi="Times New Roman"/>
          <w:sz w:val="24"/>
          <w:szCs w:val="24"/>
          <w:lang w:val="en-GB"/>
        </w:rPr>
        <w:t xml:space="preserve"> in the 1970s </w:t>
      </w:r>
      <w:r>
        <w:rPr>
          <w:rFonts w:ascii="Times New Roman" w:hAnsi="Times New Roman"/>
          <w:sz w:val="24"/>
          <w:szCs w:val="24"/>
          <w:lang w:val="en-GB"/>
        </w:rPr>
        <w:t>usually</w:t>
      </w:r>
      <w:r w:rsidRPr="00813E2C">
        <w:rPr>
          <w:rFonts w:ascii="Times New Roman" w:hAnsi="Times New Roman"/>
          <w:sz w:val="24"/>
          <w:szCs w:val="24"/>
          <w:lang w:val="en-GB"/>
        </w:rPr>
        <w:t xml:space="preserve"> between 1</w:t>
      </w:r>
      <w:r>
        <w:rPr>
          <w:rFonts w:ascii="Times New Roman" w:hAnsi="Times New Roman"/>
          <w:sz w:val="24"/>
          <w:szCs w:val="24"/>
          <w:lang w:val="en-GB"/>
        </w:rPr>
        <w:t>00 and 200 new cases each year;</w:t>
      </w:r>
      <w:r w:rsidRPr="00813E2C">
        <w:rPr>
          <w:rFonts w:ascii="Times New Roman" w:hAnsi="Times New Roman"/>
          <w:sz w:val="24"/>
          <w:szCs w:val="24"/>
          <w:lang w:val="en-GB"/>
        </w:rPr>
        <w:t xml:space="preserve"> in the 1990s between 300 and 500 cases</w:t>
      </w:r>
      <w:r>
        <w:rPr>
          <w:rFonts w:ascii="Times New Roman" w:hAnsi="Times New Roman"/>
          <w:sz w:val="24"/>
          <w:szCs w:val="24"/>
          <w:lang w:val="en-GB"/>
        </w:rPr>
        <w:t xml:space="preserve">, and </w:t>
      </w:r>
      <w:r w:rsidRPr="00813E2C">
        <w:rPr>
          <w:rFonts w:ascii="Times New Roman" w:hAnsi="Times New Roman"/>
          <w:sz w:val="24"/>
          <w:szCs w:val="24"/>
          <w:lang w:val="en-GB"/>
        </w:rPr>
        <w:t xml:space="preserve">since 2001 there have been between 400 and 600 </w:t>
      </w:r>
      <w:r>
        <w:rPr>
          <w:rFonts w:ascii="Times New Roman" w:hAnsi="Times New Roman"/>
          <w:sz w:val="24"/>
          <w:szCs w:val="24"/>
          <w:lang w:val="en-GB"/>
        </w:rPr>
        <w:t xml:space="preserve">new cases </w:t>
      </w:r>
      <w:r w:rsidRPr="00813E2C">
        <w:rPr>
          <w:rFonts w:ascii="Times New Roman" w:hAnsi="Times New Roman"/>
          <w:sz w:val="24"/>
          <w:szCs w:val="24"/>
          <w:lang w:val="en-GB"/>
        </w:rPr>
        <w:t>each year (6</w:t>
      </w:r>
      <w:r>
        <w:rPr>
          <w:rFonts w:ascii="Times New Roman" w:hAnsi="Times New Roman"/>
          <w:sz w:val="24"/>
          <w:szCs w:val="24"/>
          <w:lang w:val="en-GB"/>
        </w:rPr>
        <w:t>32</w:t>
      </w:r>
      <w:r w:rsidRPr="00813E2C">
        <w:rPr>
          <w:rFonts w:ascii="Times New Roman" w:hAnsi="Times New Roman"/>
          <w:sz w:val="24"/>
          <w:szCs w:val="24"/>
          <w:lang w:val="en-GB"/>
        </w:rPr>
        <w:t xml:space="preserve"> in 201</w:t>
      </w:r>
      <w:r>
        <w:rPr>
          <w:rFonts w:ascii="Times New Roman" w:hAnsi="Times New Roman"/>
          <w:sz w:val="24"/>
          <w:szCs w:val="24"/>
          <w:lang w:val="en-GB"/>
        </w:rPr>
        <w:t>2</w:t>
      </w:r>
      <w:r w:rsidRPr="00813E2C">
        <w:rPr>
          <w:rFonts w:ascii="Times New Roman" w:hAnsi="Times New Roman"/>
          <w:sz w:val="24"/>
          <w:szCs w:val="24"/>
          <w:lang w:val="en-GB"/>
        </w:rPr>
        <w:t>)</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1"/>
      </w:r>
      <w:r w:rsidRPr="00813E2C">
        <w:rPr>
          <w:rFonts w:ascii="Times New Roman" w:hAnsi="Times New Roman"/>
          <w:sz w:val="24"/>
          <w:szCs w:val="24"/>
          <w:lang w:val="en-GB"/>
        </w:rPr>
        <w:t xml:space="preserve"> This increase has had an adverse effect on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’s ability to deliver its </w:t>
      </w:r>
      <w:r>
        <w:rPr>
          <w:rFonts w:ascii="Times New Roman" w:hAnsi="Times New Roman"/>
          <w:sz w:val="24"/>
          <w:szCs w:val="24"/>
          <w:lang w:val="en-GB"/>
        </w:rPr>
        <w:t>judgme</w:t>
      </w:r>
      <w:r w:rsidRPr="00813E2C">
        <w:rPr>
          <w:rFonts w:ascii="Times New Roman" w:hAnsi="Times New Roman"/>
          <w:sz w:val="24"/>
          <w:szCs w:val="24"/>
          <w:lang w:val="en-GB"/>
        </w:rPr>
        <w:t xml:space="preserve">nts within a short timeframe. In 1975 it took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an average of </w:t>
      </w:r>
      <w:r>
        <w:rPr>
          <w:rFonts w:ascii="Times New Roman" w:hAnsi="Times New Roman"/>
          <w:sz w:val="24"/>
          <w:szCs w:val="24"/>
          <w:lang w:val="en-GB"/>
        </w:rPr>
        <w:t>six</w:t>
      </w:r>
      <w:r w:rsidRPr="00813E2C">
        <w:rPr>
          <w:rFonts w:ascii="Times New Roman" w:hAnsi="Times New Roman"/>
          <w:sz w:val="24"/>
          <w:szCs w:val="24"/>
          <w:lang w:val="en-GB"/>
        </w:rPr>
        <w:t xml:space="preserve"> months to d</w:t>
      </w:r>
      <w:r>
        <w:rPr>
          <w:rFonts w:ascii="Times New Roman" w:hAnsi="Times New Roman"/>
          <w:sz w:val="24"/>
          <w:szCs w:val="24"/>
          <w:lang w:val="en-GB"/>
        </w:rPr>
        <w:t>eal with preliminary references, and</w:t>
      </w:r>
      <w:r w:rsidRPr="00813E2C">
        <w:rPr>
          <w:rFonts w:ascii="Times New Roman" w:hAnsi="Times New Roman"/>
          <w:sz w:val="24"/>
          <w:szCs w:val="24"/>
          <w:lang w:val="en-GB"/>
        </w:rPr>
        <w:t xml:space="preserve"> in 1983 12 months; in 2003 the average period reached a peak of 25.5 months </w:t>
      </w:r>
      <w:r w:rsidRPr="00CF7F57">
        <w:rPr>
          <w:rFonts w:ascii="Times New Roman" w:hAnsi="Times New Roman"/>
          <w:sz w:val="24"/>
          <w:szCs w:val="24"/>
          <w:lang w:val="en-GB"/>
        </w:rPr>
        <w:t xml:space="preserve">and then it started to decrease </w:t>
      </w:r>
      <w:r w:rsidRPr="00813E2C">
        <w:rPr>
          <w:rFonts w:ascii="Times New Roman" w:hAnsi="Times New Roman"/>
          <w:sz w:val="24"/>
          <w:szCs w:val="24"/>
          <w:lang w:val="en-GB"/>
        </w:rPr>
        <w:t xml:space="preserve">to </w:t>
      </w:r>
      <w:r>
        <w:rPr>
          <w:rFonts w:ascii="Times New Roman" w:hAnsi="Times New Roman"/>
          <w:sz w:val="24"/>
          <w:szCs w:val="24"/>
          <w:lang w:val="en-GB"/>
        </w:rPr>
        <w:t>15.7</w:t>
      </w:r>
      <w:r w:rsidRPr="00813E2C">
        <w:rPr>
          <w:rFonts w:ascii="Times New Roman" w:hAnsi="Times New Roman"/>
          <w:sz w:val="24"/>
          <w:szCs w:val="24"/>
          <w:lang w:val="en-GB"/>
        </w:rPr>
        <w:t xml:space="preserve"> months in 201</w:t>
      </w:r>
      <w:r>
        <w:rPr>
          <w:rFonts w:ascii="Times New Roman" w:hAnsi="Times New Roman"/>
          <w:sz w:val="24"/>
          <w:szCs w:val="24"/>
          <w:lang w:val="en-GB"/>
        </w:rPr>
        <w:t>2.</w:t>
      </w:r>
      <w:r w:rsidRPr="00813E2C">
        <w:rPr>
          <w:rStyle w:val="Rimandonotaapidipagina"/>
          <w:rFonts w:ascii="Times New Roman" w:hAnsi="Times New Roman"/>
          <w:sz w:val="24"/>
          <w:szCs w:val="24"/>
          <w:lang w:val="en-GB"/>
        </w:rPr>
        <w:footnoteReference w:id="12"/>
      </w:r>
      <w:r w:rsidRPr="00813E2C">
        <w:rPr>
          <w:rFonts w:ascii="Times New Roman" w:hAnsi="Times New Roman"/>
          <w:sz w:val="24"/>
          <w:szCs w:val="24"/>
          <w:lang w:val="en-GB"/>
        </w:rPr>
        <w:t xml:space="preserve"> Preliminary references represent by far the greatest source of the caseload of the Court: in the </w:t>
      </w:r>
      <w:r>
        <w:rPr>
          <w:rFonts w:ascii="Times New Roman" w:hAnsi="Times New Roman"/>
          <w:sz w:val="24"/>
          <w:szCs w:val="24"/>
          <w:lang w:val="en-GB"/>
        </w:rPr>
        <w:t>four</w:t>
      </w:r>
      <w:r w:rsidRPr="00813E2C">
        <w:rPr>
          <w:rFonts w:ascii="Times New Roman" w:hAnsi="Times New Roman"/>
          <w:sz w:val="24"/>
          <w:szCs w:val="24"/>
          <w:lang w:val="en-GB"/>
        </w:rPr>
        <w:t xml:space="preserve"> years</w:t>
      </w:r>
      <w:r>
        <w:rPr>
          <w:rFonts w:ascii="Times New Roman" w:hAnsi="Times New Roman"/>
          <w:sz w:val="24"/>
          <w:szCs w:val="24"/>
          <w:lang w:val="en-GB"/>
        </w:rPr>
        <w:t xml:space="preserve"> from</w:t>
      </w:r>
      <w:r w:rsidRPr="00813E2C">
        <w:rPr>
          <w:rFonts w:ascii="Times New Roman" w:hAnsi="Times New Roman"/>
          <w:sz w:val="24"/>
          <w:szCs w:val="24"/>
          <w:lang w:val="en-GB"/>
        </w:rPr>
        <w:t xml:space="preserve"> 200</w:t>
      </w:r>
      <w:r>
        <w:rPr>
          <w:rFonts w:ascii="Times New Roman" w:hAnsi="Times New Roman"/>
          <w:sz w:val="24"/>
          <w:szCs w:val="24"/>
          <w:lang w:val="en-GB"/>
        </w:rPr>
        <w:t xml:space="preserve">9 to </w:t>
      </w:r>
      <w:r w:rsidRPr="00813E2C">
        <w:rPr>
          <w:rFonts w:ascii="Times New Roman" w:hAnsi="Times New Roman"/>
          <w:sz w:val="24"/>
          <w:szCs w:val="24"/>
          <w:lang w:val="en-GB"/>
        </w:rPr>
        <w:t>201</w:t>
      </w:r>
      <w:r>
        <w:rPr>
          <w:rFonts w:ascii="Times New Roman" w:hAnsi="Times New Roman"/>
          <w:sz w:val="24"/>
          <w:szCs w:val="24"/>
          <w:lang w:val="en-GB"/>
        </w:rPr>
        <w:t>2</w:t>
      </w:r>
      <w:r w:rsidRPr="00813E2C">
        <w:rPr>
          <w:rFonts w:ascii="Times New Roman" w:hAnsi="Times New Roman"/>
          <w:sz w:val="24"/>
          <w:szCs w:val="24"/>
          <w:lang w:val="en-GB"/>
        </w:rPr>
        <w:t xml:space="preserve">, </w:t>
      </w:r>
      <w:r>
        <w:rPr>
          <w:rFonts w:ascii="Times New Roman" w:hAnsi="Times New Roman"/>
          <w:sz w:val="24"/>
          <w:szCs w:val="24"/>
          <w:lang w:val="en-GB"/>
        </w:rPr>
        <w:t xml:space="preserve">60% </w:t>
      </w:r>
      <w:r w:rsidRPr="00813E2C">
        <w:rPr>
          <w:rFonts w:ascii="Times New Roman" w:hAnsi="Times New Roman"/>
          <w:sz w:val="24"/>
          <w:szCs w:val="24"/>
          <w:lang w:val="en-GB"/>
        </w:rPr>
        <w:t xml:space="preserve">of the proceedings before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were references for a preliminary ruling.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In order to respond to the increasing workload, the Court has benefited from the autonomy it enjoys in devising its own rule of procedure and in organising and managing the cases. </w:t>
      </w:r>
      <w:r>
        <w:rPr>
          <w:rFonts w:ascii="Times New Roman" w:hAnsi="Times New Roman"/>
          <w:sz w:val="24"/>
          <w:szCs w:val="24"/>
          <w:lang w:val="en-GB"/>
        </w:rPr>
        <w:t>In recent</w:t>
      </w:r>
      <w:r w:rsidRPr="00813E2C">
        <w:rPr>
          <w:rFonts w:ascii="Times New Roman" w:hAnsi="Times New Roman"/>
          <w:sz w:val="24"/>
          <w:szCs w:val="24"/>
          <w:lang w:val="en-GB"/>
        </w:rPr>
        <w:t xml:space="preserve"> years the </w:t>
      </w:r>
      <w:r>
        <w:rPr>
          <w:rFonts w:ascii="Times New Roman" w:hAnsi="Times New Roman"/>
          <w:sz w:val="24"/>
          <w:szCs w:val="24"/>
          <w:lang w:val="en-GB"/>
        </w:rPr>
        <w:t>s</w:t>
      </w:r>
      <w:r w:rsidRPr="00813E2C">
        <w:rPr>
          <w:rFonts w:ascii="Times New Roman" w:hAnsi="Times New Roman"/>
          <w:sz w:val="24"/>
          <w:szCs w:val="24"/>
          <w:lang w:val="en-GB"/>
        </w:rPr>
        <w:t xml:space="preserve">tatute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and its </w:t>
      </w:r>
      <w:r>
        <w:rPr>
          <w:rFonts w:ascii="Times New Roman" w:hAnsi="Times New Roman"/>
          <w:sz w:val="24"/>
          <w:szCs w:val="24"/>
          <w:lang w:val="en-GB"/>
        </w:rPr>
        <w:t>r</w:t>
      </w:r>
      <w:r w:rsidRPr="00813E2C">
        <w:rPr>
          <w:rFonts w:ascii="Times New Roman" w:hAnsi="Times New Roman"/>
          <w:sz w:val="24"/>
          <w:szCs w:val="24"/>
          <w:lang w:val="en-GB"/>
        </w:rPr>
        <w:t xml:space="preserve">ules of </w:t>
      </w:r>
      <w:r>
        <w:rPr>
          <w:rFonts w:ascii="Times New Roman" w:hAnsi="Times New Roman"/>
          <w:sz w:val="24"/>
          <w:szCs w:val="24"/>
          <w:lang w:val="en-GB"/>
        </w:rPr>
        <w:t>p</w:t>
      </w:r>
      <w:r w:rsidRPr="00813E2C">
        <w:rPr>
          <w:rFonts w:ascii="Times New Roman" w:hAnsi="Times New Roman"/>
          <w:sz w:val="24"/>
          <w:szCs w:val="24"/>
          <w:lang w:val="en-GB"/>
        </w:rPr>
        <w:t xml:space="preserve">rocedure have been amended several times in order to secure greater organisational autonomy, flexibility and efficiency. Without going into much detail, it is worth mentioning that the use of </w:t>
      </w:r>
      <w:r>
        <w:rPr>
          <w:rFonts w:ascii="Times New Roman" w:hAnsi="Times New Roman"/>
          <w:sz w:val="24"/>
          <w:szCs w:val="24"/>
          <w:lang w:val="en-GB"/>
        </w:rPr>
        <w:t>c</w:t>
      </w:r>
      <w:r w:rsidRPr="00813E2C">
        <w:rPr>
          <w:rFonts w:ascii="Times New Roman" w:hAnsi="Times New Roman"/>
          <w:sz w:val="24"/>
          <w:szCs w:val="24"/>
          <w:lang w:val="en-GB"/>
        </w:rPr>
        <w:t xml:space="preserve">hambers has evolved considerably and has been gradually extended to the </w:t>
      </w:r>
      <w:r>
        <w:rPr>
          <w:rFonts w:ascii="Times New Roman" w:hAnsi="Times New Roman"/>
          <w:sz w:val="24"/>
          <w:szCs w:val="24"/>
          <w:lang w:val="en-GB"/>
        </w:rPr>
        <w:t>current</w:t>
      </w:r>
      <w:r w:rsidRPr="00813E2C">
        <w:rPr>
          <w:rFonts w:ascii="Times New Roman" w:hAnsi="Times New Roman"/>
          <w:sz w:val="24"/>
          <w:szCs w:val="24"/>
          <w:lang w:val="en-GB"/>
        </w:rPr>
        <w:t xml:space="preserve"> situation in which cases are assigned to the </w:t>
      </w:r>
      <w:r>
        <w:rPr>
          <w:rFonts w:ascii="Times New Roman" w:hAnsi="Times New Roman"/>
          <w:sz w:val="24"/>
          <w:szCs w:val="24"/>
          <w:lang w:val="en-GB"/>
        </w:rPr>
        <w:t>F</w:t>
      </w:r>
      <w:r w:rsidRPr="00813E2C">
        <w:rPr>
          <w:rFonts w:ascii="Times New Roman" w:hAnsi="Times New Roman"/>
          <w:sz w:val="24"/>
          <w:szCs w:val="24"/>
          <w:lang w:val="en-GB"/>
        </w:rPr>
        <w:t xml:space="preserve">ull </w:t>
      </w:r>
      <w:r>
        <w:rPr>
          <w:rFonts w:ascii="Times New Roman" w:hAnsi="Times New Roman"/>
          <w:sz w:val="24"/>
          <w:szCs w:val="24"/>
          <w:lang w:val="en-GB"/>
        </w:rPr>
        <w:t>C</w:t>
      </w:r>
      <w:r w:rsidRPr="00813E2C">
        <w:rPr>
          <w:rFonts w:ascii="Times New Roman" w:hAnsi="Times New Roman"/>
          <w:sz w:val="24"/>
          <w:szCs w:val="24"/>
          <w:lang w:val="en-GB"/>
        </w:rPr>
        <w:t xml:space="preserve">ourt or to the </w:t>
      </w:r>
      <w:r>
        <w:rPr>
          <w:rFonts w:ascii="Times New Roman" w:hAnsi="Times New Roman"/>
          <w:sz w:val="24"/>
          <w:szCs w:val="24"/>
          <w:lang w:val="en-GB"/>
        </w:rPr>
        <w:t>G</w:t>
      </w:r>
      <w:r w:rsidRPr="00813E2C">
        <w:rPr>
          <w:rFonts w:ascii="Times New Roman" w:hAnsi="Times New Roman"/>
          <w:sz w:val="24"/>
          <w:szCs w:val="24"/>
          <w:lang w:val="en-GB"/>
        </w:rPr>
        <w:t>r</w:t>
      </w:r>
      <w:r>
        <w:rPr>
          <w:rFonts w:ascii="Times New Roman" w:hAnsi="Times New Roman"/>
          <w:sz w:val="24"/>
          <w:szCs w:val="24"/>
          <w:lang w:val="en-GB"/>
        </w:rPr>
        <w:t>and Chamber only exceptionally</w:t>
      </w:r>
      <w:r w:rsidRPr="00813E2C">
        <w:rPr>
          <w:rFonts w:ascii="Times New Roman" w:hAnsi="Times New Roman"/>
          <w:sz w:val="24"/>
          <w:szCs w:val="24"/>
          <w:lang w:val="en-GB"/>
        </w:rPr>
        <w:t xml:space="preserve">. At present,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is divided into eight </w:t>
      </w:r>
      <w:r>
        <w:rPr>
          <w:rFonts w:ascii="Times New Roman" w:hAnsi="Times New Roman"/>
          <w:sz w:val="24"/>
          <w:szCs w:val="24"/>
          <w:lang w:val="en-GB"/>
        </w:rPr>
        <w:t>c</w:t>
      </w:r>
      <w:r w:rsidRPr="00813E2C">
        <w:rPr>
          <w:rFonts w:ascii="Times New Roman" w:hAnsi="Times New Roman"/>
          <w:sz w:val="24"/>
          <w:szCs w:val="24"/>
          <w:lang w:val="en-GB"/>
        </w:rPr>
        <w:t xml:space="preserve">hambers consisting of either three or five judges, and cases are assigned to </w:t>
      </w:r>
      <w:r>
        <w:rPr>
          <w:rFonts w:ascii="Times New Roman" w:hAnsi="Times New Roman"/>
          <w:sz w:val="24"/>
          <w:szCs w:val="24"/>
          <w:lang w:val="en-GB"/>
        </w:rPr>
        <w:t>c</w:t>
      </w:r>
      <w:r w:rsidRPr="00813E2C">
        <w:rPr>
          <w:rFonts w:ascii="Times New Roman" w:hAnsi="Times New Roman"/>
          <w:sz w:val="24"/>
          <w:szCs w:val="24"/>
          <w:lang w:val="en-GB"/>
        </w:rPr>
        <w:t xml:space="preserve">hambers </w:t>
      </w:r>
      <w:r>
        <w:rPr>
          <w:rFonts w:ascii="Times New Roman" w:hAnsi="Times New Roman"/>
          <w:sz w:val="24"/>
          <w:szCs w:val="24"/>
          <w:lang w:val="en-GB"/>
        </w:rPr>
        <w:t>‘</w:t>
      </w:r>
      <w:r w:rsidRPr="00813E2C">
        <w:rPr>
          <w:rFonts w:ascii="Times New Roman" w:hAnsi="Times New Roman"/>
          <w:sz w:val="24"/>
          <w:szCs w:val="24"/>
          <w:lang w:val="en-GB"/>
        </w:rPr>
        <w:t>so far as the difficulty or importance of the case or particular circumstances are not such as to require that it should be assigned to the Grand Chamber</w:t>
      </w:r>
      <w:r>
        <w:rPr>
          <w:rFonts w:ascii="Times New Roman" w:hAnsi="Times New Roman"/>
          <w:sz w:val="24"/>
          <w:szCs w:val="24"/>
          <w:lang w:val="en-GB"/>
        </w:rPr>
        <w:t>’ (</w:t>
      </w:r>
      <w:r w:rsidRPr="00154AF9">
        <w:rPr>
          <w:rFonts w:ascii="Times New Roman" w:hAnsi="Times New Roman"/>
          <w:iCs/>
          <w:sz w:val="24"/>
          <w:szCs w:val="24"/>
          <w:lang w:val="en-GB"/>
        </w:rPr>
        <w:t>Article 44(3) Rules of Procedure</w:t>
      </w:r>
      <w:r>
        <w:rPr>
          <w:rFonts w:ascii="Times New Roman" w:hAnsi="Times New Roman"/>
          <w:sz w:val="24"/>
          <w:szCs w:val="24"/>
          <w:lang w:val="en-GB"/>
        </w:rPr>
        <w:t>).</w:t>
      </w:r>
    </w:p>
    <w:p w:rsidR="005E6612" w:rsidRPr="00813E2C"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T</w:t>
      </w:r>
      <w:r w:rsidRPr="00813E2C">
        <w:rPr>
          <w:rFonts w:ascii="Times New Roman" w:hAnsi="Times New Roman"/>
          <w:sz w:val="24"/>
          <w:szCs w:val="24"/>
          <w:lang w:val="en-GB"/>
        </w:rPr>
        <w:t>he procedure followed by the Court is essentially written, inquisitorial, and from the viewpoint of a jurist accustomed to the proceedings before the national courts it is marked by great flexibility and informality</w:t>
      </w:r>
      <w:r>
        <w:rPr>
          <w:rFonts w:ascii="Times New Roman" w:hAnsi="Times New Roman"/>
          <w:sz w:val="24"/>
          <w:szCs w:val="24"/>
          <w:lang w:val="en-GB"/>
        </w:rPr>
        <w:t>.</w:t>
      </w:r>
      <w:r w:rsidRPr="00813E2C">
        <w:rPr>
          <w:rFonts w:ascii="Times New Roman" w:hAnsi="Times New Roman"/>
          <w:sz w:val="24"/>
          <w:szCs w:val="24"/>
          <w:lang w:val="en-GB"/>
        </w:rPr>
        <w:t xml:space="preserve"> </w:t>
      </w:r>
      <w:r>
        <w:rPr>
          <w:rFonts w:ascii="Times New Roman" w:hAnsi="Times New Roman"/>
          <w:sz w:val="24"/>
          <w:szCs w:val="24"/>
          <w:lang w:val="en-GB"/>
        </w:rPr>
        <w:t>T</w:t>
      </w:r>
      <w:r w:rsidRPr="00813E2C">
        <w:rPr>
          <w:rFonts w:ascii="Times New Roman" w:hAnsi="Times New Roman"/>
          <w:sz w:val="24"/>
          <w:szCs w:val="24"/>
          <w:lang w:val="en-GB"/>
        </w:rPr>
        <w:t xml:space="preserve">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may require the parties</w:t>
      </w:r>
      <w:r>
        <w:rPr>
          <w:rFonts w:ascii="Times New Roman" w:hAnsi="Times New Roman"/>
          <w:sz w:val="24"/>
          <w:szCs w:val="24"/>
          <w:lang w:val="en-GB"/>
        </w:rPr>
        <w:t xml:space="preserve">, </w:t>
      </w:r>
      <w:r w:rsidRPr="00813E2C">
        <w:rPr>
          <w:rFonts w:ascii="Times New Roman" w:hAnsi="Times New Roman"/>
          <w:sz w:val="24"/>
          <w:szCs w:val="24"/>
          <w:lang w:val="en-GB"/>
        </w:rPr>
        <w:t>the Member States</w:t>
      </w:r>
      <w:r>
        <w:rPr>
          <w:rFonts w:ascii="Times New Roman" w:hAnsi="Times New Roman"/>
          <w:sz w:val="24"/>
          <w:szCs w:val="24"/>
          <w:lang w:val="en-GB"/>
        </w:rPr>
        <w:t>’</w:t>
      </w:r>
      <w:r w:rsidRPr="00813E2C">
        <w:rPr>
          <w:rFonts w:ascii="Times New Roman" w:hAnsi="Times New Roman"/>
          <w:sz w:val="24"/>
          <w:szCs w:val="24"/>
          <w:lang w:val="en-GB"/>
        </w:rPr>
        <w:t xml:space="preserve"> governments </w:t>
      </w:r>
      <w:r>
        <w:rPr>
          <w:rFonts w:ascii="Times New Roman" w:hAnsi="Times New Roman"/>
          <w:sz w:val="24"/>
          <w:szCs w:val="24"/>
          <w:lang w:val="en-GB"/>
        </w:rPr>
        <w:t>and the</w:t>
      </w:r>
      <w:r w:rsidRPr="00813E2C">
        <w:rPr>
          <w:rFonts w:ascii="Times New Roman" w:hAnsi="Times New Roman"/>
          <w:sz w:val="24"/>
          <w:szCs w:val="24"/>
          <w:lang w:val="en-GB"/>
        </w:rPr>
        <w:t xml:space="preserve"> EU institutions to produce all documents and to supply all information </w:t>
      </w:r>
      <w:r>
        <w:rPr>
          <w:rFonts w:ascii="Times New Roman" w:hAnsi="Times New Roman"/>
          <w:sz w:val="24"/>
          <w:szCs w:val="24"/>
          <w:lang w:val="en-GB"/>
        </w:rPr>
        <w:t>the Court</w:t>
      </w:r>
      <w:r w:rsidRPr="00813E2C">
        <w:rPr>
          <w:rFonts w:ascii="Times New Roman" w:hAnsi="Times New Roman"/>
          <w:sz w:val="24"/>
          <w:szCs w:val="24"/>
          <w:lang w:val="en-GB"/>
        </w:rPr>
        <w:t xml:space="preserve"> considers necessary</w:t>
      </w:r>
      <w:r>
        <w:rPr>
          <w:rFonts w:ascii="Times New Roman" w:hAnsi="Times New Roman"/>
          <w:sz w:val="24"/>
          <w:szCs w:val="24"/>
          <w:lang w:val="en-GB"/>
        </w:rPr>
        <w:t>, and</w:t>
      </w:r>
      <w:r w:rsidRPr="00813E2C">
        <w:rPr>
          <w:rFonts w:ascii="Times New Roman" w:hAnsi="Times New Roman"/>
          <w:sz w:val="24"/>
          <w:szCs w:val="24"/>
          <w:lang w:val="en-GB"/>
        </w:rPr>
        <w:t xml:space="preserve"> at any time </w:t>
      </w:r>
      <w:r>
        <w:rPr>
          <w:rFonts w:ascii="Times New Roman" w:hAnsi="Times New Roman"/>
          <w:sz w:val="24"/>
          <w:szCs w:val="24"/>
          <w:lang w:val="en-GB"/>
        </w:rPr>
        <w:t xml:space="preserve">it may </w:t>
      </w:r>
      <w:r w:rsidRPr="00813E2C">
        <w:rPr>
          <w:rFonts w:ascii="Times New Roman" w:hAnsi="Times New Roman"/>
          <w:sz w:val="24"/>
          <w:szCs w:val="24"/>
          <w:lang w:val="en-GB"/>
        </w:rPr>
        <w:t>entrust individual</w:t>
      </w:r>
      <w:r>
        <w:rPr>
          <w:rFonts w:ascii="Times New Roman" w:hAnsi="Times New Roman"/>
          <w:sz w:val="24"/>
          <w:szCs w:val="24"/>
          <w:lang w:val="en-GB"/>
        </w:rPr>
        <w:t>s</w:t>
      </w:r>
      <w:r w:rsidRPr="00813E2C">
        <w:rPr>
          <w:rFonts w:ascii="Times New Roman" w:hAnsi="Times New Roman"/>
          <w:sz w:val="24"/>
          <w:szCs w:val="24"/>
          <w:lang w:val="en-GB"/>
        </w:rPr>
        <w:t xml:space="preserve"> or organisation</w:t>
      </w:r>
      <w:r>
        <w:rPr>
          <w:rFonts w:ascii="Times New Roman" w:hAnsi="Times New Roman"/>
          <w:sz w:val="24"/>
          <w:szCs w:val="24"/>
          <w:lang w:val="en-GB"/>
        </w:rPr>
        <w:t>s</w:t>
      </w:r>
      <w:r w:rsidRPr="00813E2C">
        <w:rPr>
          <w:rFonts w:ascii="Times New Roman" w:hAnsi="Times New Roman"/>
          <w:sz w:val="24"/>
          <w:szCs w:val="24"/>
          <w:lang w:val="en-GB"/>
        </w:rPr>
        <w:t xml:space="preserve"> it chooses with the task of giving an expert opinion. The j</w:t>
      </w:r>
      <w:r w:rsidRPr="00813E2C">
        <w:rPr>
          <w:rFonts w:ascii="Times New Roman" w:hAnsi="Times New Roman"/>
          <w:bCs/>
          <w:sz w:val="24"/>
          <w:szCs w:val="24"/>
          <w:lang w:val="en-GB"/>
        </w:rPr>
        <w:t>udge-rapporteur can chair informal preparatory meetings with the parties and the</w:t>
      </w:r>
      <w:r w:rsidRPr="00813E2C">
        <w:rPr>
          <w:rFonts w:ascii="Times New Roman" w:hAnsi="Times New Roman"/>
          <w:b/>
          <w:bCs/>
          <w:sz w:val="24"/>
          <w:szCs w:val="24"/>
          <w:lang w:val="en-GB"/>
        </w:rPr>
        <w:t xml:space="preserve"> </w:t>
      </w:r>
      <w:r w:rsidRPr="00813E2C">
        <w:rPr>
          <w:rFonts w:ascii="Times New Roman" w:hAnsi="Times New Roman"/>
          <w:sz w:val="24"/>
          <w:szCs w:val="24"/>
          <w:lang w:val="en-GB"/>
        </w:rPr>
        <w:t>Court can decide to dispense with the oral part of the procedure</w:t>
      </w:r>
      <w:r>
        <w:rPr>
          <w:rFonts w:ascii="Times New Roman" w:hAnsi="Times New Roman"/>
          <w:sz w:val="24"/>
          <w:szCs w:val="24"/>
          <w:lang w:val="en-GB"/>
        </w:rPr>
        <w:t>.</w:t>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The language of the case is chosen by the applicant among the official languages of the EU, except where the defendant is a Member State, in which case the language of the case is the official language of that State. In preliminary ruling proceedings the language of the case is the language of the referring court. The internal working language of the Court, however, is French: it is the language in which the judges deliberate and the language in which preliminary reports and </w:t>
      </w:r>
      <w:r>
        <w:rPr>
          <w:rFonts w:ascii="Times New Roman" w:hAnsi="Times New Roman"/>
          <w:sz w:val="24"/>
          <w:szCs w:val="24"/>
          <w:lang w:val="en-GB"/>
        </w:rPr>
        <w:t>judgme</w:t>
      </w:r>
      <w:r w:rsidRPr="00813E2C">
        <w:rPr>
          <w:rFonts w:ascii="Times New Roman" w:hAnsi="Times New Roman"/>
          <w:sz w:val="24"/>
          <w:szCs w:val="24"/>
          <w:lang w:val="en-GB"/>
        </w:rPr>
        <w:t>nts are drafted.</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Summaries of </w:t>
      </w:r>
      <w:r>
        <w:rPr>
          <w:rFonts w:ascii="Times New Roman" w:hAnsi="Times New Roman"/>
          <w:sz w:val="24"/>
          <w:szCs w:val="24"/>
          <w:lang w:val="en-GB"/>
        </w:rPr>
        <w:t>judgme</w:t>
      </w:r>
      <w:r w:rsidRPr="00813E2C">
        <w:rPr>
          <w:rFonts w:ascii="Times New Roman" w:hAnsi="Times New Roman"/>
          <w:sz w:val="24"/>
          <w:szCs w:val="24"/>
          <w:lang w:val="en-GB"/>
        </w:rPr>
        <w:t xml:space="preserve">nts of the Court of Justice are published in the </w:t>
      </w:r>
      <w:r>
        <w:rPr>
          <w:rFonts w:ascii="Times New Roman" w:hAnsi="Times New Roman"/>
          <w:sz w:val="24"/>
          <w:szCs w:val="24"/>
          <w:lang w:val="en-GB"/>
        </w:rPr>
        <w:t>‘</w:t>
      </w:r>
      <w:r w:rsidRPr="00813E2C">
        <w:rPr>
          <w:rFonts w:ascii="Times New Roman" w:hAnsi="Times New Roman"/>
          <w:sz w:val="24"/>
          <w:szCs w:val="24"/>
          <w:lang w:val="en-GB"/>
        </w:rPr>
        <w:t>Official Journal of the European Union</w:t>
      </w:r>
      <w:r>
        <w:rPr>
          <w:rFonts w:ascii="Times New Roman" w:hAnsi="Times New Roman"/>
          <w:sz w:val="24"/>
          <w:szCs w:val="24"/>
          <w:lang w:val="en-GB"/>
        </w:rPr>
        <w:t>’</w:t>
      </w:r>
      <w:r w:rsidRPr="00813E2C">
        <w:rPr>
          <w:rFonts w:ascii="Times New Roman" w:hAnsi="Times New Roman"/>
          <w:sz w:val="24"/>
          <w:szCs w:val="24"/>
          <w:lang w:val="en-GB"/>
        </w:rPr>
        <w:t xml:space="preserve"> (C Series) and all </w:t>
      </w:r>
      <w:r>
        <w:rPr>
          <w:rFonts w:ascii="Times New Roman" w:hAnsi="Times New Roman"/>
          <w:sz w:val="24"/>
          <w:szCs w:val="24"/>
          <w:lang w:val="en-GB"/>
        </w:rPr>
        <w:t>judgme</w:t>
      </w:r>
      <w:r w:rsidRPr="00813E2C">
        <w:rPr>
          <w:rFonts w:ascii="Times New Roman" w:hAnsi="Times New Roman"/>
          <w:sz w:val="24"/>
          <w:szCs w:val="24"/>
          <w:lang w:val="en-GB"/>
        </w:rPr>
        <w:t xml:space="preserve">nts are published in full </w:t>
      </w:r>
      <w:r w:rsidRPr="00813E2C">
        <w:rPr>
          <w:rFonts w:ascii="Times New Roman" w:hAnsi="Times New Roman"/>
          <w:sz w:val="24"/>
          <w:szCs w:val="24"/>
          <w:lang w:val="en-GB" w:eastAsia="it-IT"/>
        </w:rPr>
        <w:t xml:space="preserve">together with opinions of the </w:t>
      </w:r>
      <w:r w:rsidRPr="00813E2C">
        <w:rPr>
          <w:rFonts w:ascii="Times New Roman" w:hAnsi="Times New Roman"/>
          <w:sz w:val="24"/>
          <w:szCs w:val="24"/>
          <w:lang w:val="en-GB" w:eastAsia="it-IT"/>
        </w:rPr>
        <w:lastRenderedPageBreak/>
        <w:t xml:space="preserve">Advocates-General </w:t>
      </w:r>
      <w:r w:rsidRPr="00813E2C">
        <w:rPr>
          <w:rFonts w:ascii="Times New Roman" w:hAnsi="Times New Roman"/>
          <w:sz w:val="24"/>
          <w:szCs w:val="24"/>
          <w:lang w:val="en-GB"/>
        </w:rPr>
        <w:t xml:space="preserve">in the </w:t>
      </w:r>
      <w:r>
        <w:rPr>
          <w:rFonts w:ascii="Times New Roman" w:hAnsi="Times New Roman"/>
          <w:sz w:val="24"/>
          <w:szCs w:val="24"/>
          <w:lang w:val="en-GB"/>
        </w:rPr>
        <w:t>‘</w:t>
      </w:r>
      <w:r w:rsidRPr="00813E2C">
        <w:rPr>
          <w:rFonts w:ascii="Times New Roman" w:hAnsi="Times New Roman"/>
          <w:sz w:val="24"/>
          <w:szCs w:val="24"/>
          <w:lang w:val="en-GB" w:eastAsia="it-IT"/>
        </w:rPr>
        <w:t>European Court Reports</w:t>
      </w:r>
      <w:r>
        <w:rPr>
          <w:rFonts w:ascii="Times New Roman" w:hAnsi="Times New Roman"/>
          <w:sz w:val="24"/>
          <w:szCs w:val="24"/>
          <w:lang w:val="en-GB" w:eastAsia="it-IT"/>
        </w:rPr>
        <w:t>’</w:t>
      </w:r>
      <w:r w:rsidRPr="00813E2C">
        <w:rPr>
          <w:rFonts w:ascii="Times New Roman" w:hAnsi="Times New Roman"/>
          <w:sz w:val="24"/>
          <w:szCs w:val="24"/>
          <w:lang w:val="en-GB" w:eastAsia="it-IT"/>
        </w:rPr>
        <w:t>,</w:t>
      </w:r>
      <w:r>
        <w:rPr>
          <w:rFonts w:ascii="Times New Roman" w:hAnsi="Times New Roman"/>
          <w:sz w:val="24"/>
          <w:szCs w:val="24"/>
          <w:lang w:val="en-GB"/>
        </w:rPr>
        <w:t xml:space="preserve"> except some minor decisions,</w:t>
      </w:r>
      <w:r w:rsidRPr="00813E2C">
        <w:rPr>
          <w:rFonts w:ascii="Times New Roman" w:hAnsi="Times New Roman"/>
          <w:sz w:val="24"/>
          <w:szCs w:val="24"/>
          <w:lang w:val="en-GB"/>
        </w:rPr>
        <w:t xml:space="preserve"> which are nonetheless accessible on the Court’s internet site. </w:t>
      </w:r>
    </w:p>
    <w:p w:rsidR="005E6612" w:rsidRPr="00813E2C"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3</w:t>
      </w:r>
      <w:r w:rsidRPr="00813E2C">
        <w:rPr>
          <w:rFonts w:ascii="Times New Roman" w:hAnsi="Times New Roman"/>
          <w:sz w:val="24"/>
          <w:szCs w:val="24"/>
          <w:lang w:val="en-GB"/>
        </w:rPr>
        <w:t xml:space="preserve">. </w:t>
      </w:r>
      <w:r w:rsidRPr="00813E2C">
        <w:rPr>
          <w:rFonts w:ascii="Times New Roman" w:hAnsi="Times New Roman"/>
          <w:i/>
          <w:sz w:val="24"/>
          <w:szCs w:val="24"/>
          <w:lang w:val="en-GB"/>
        </w:rPr>
        <w:t>Composition of the Court. The judges</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Another response to the growing workload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was the increase in the number of the members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Following several incremental enlargements, today’s Court of Justice of the EU is composed of </w:t>
      </w:r>
      <w:r>
        <w:rPr>
          <w:rFonts w:ascii="Times New Roman" w:hAnsi="Times New Roman"/>
          <w:sz w:val="24"/>
          <w:szCs w:val="24"/>
          <w:lang w:val="en-GB"/>
        </w:rPr>
        <w:t xml:space="preserve">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’s </w:t>
      </w:r>
      <w:r>
        <w:rPr>
          <w:rFonts w:ascii="Times New Roman" w:hAnsi="Times New Roman"/>
          <w:sz w:val="24"/>
          <w:szCs w:val="24"/>
          <w:lang w:val="en-GB"/>
        </w:rPr>
        <w:t>27</w:t>
      </w:r>
      <w:r w:rsidRPr="00813E2C">
        <w:rPr>
          <w:rFonts w:ascii="Times New Roman" w:hAnsi="Times New Roman"/>
          <w:sz w:val="24"/>
          <w:szCs w:val="24"/>
          <w:lang w:val="en-GB"/>
        </w:rPr>
        <w:t xml:space="preserve"> judges, of the G</w:t>
      </w:r>
      <w:r>
        <w:rPr>
          <w:rFonts w:ascii="Times New Roman" w:hAnsi="Times New Roman"/>
          <w:sz w:val="24"/>
          <w:szCs w:val="24"/>
          <w:lang w:val="en-GB"/>
        </w:rPr>
        <w:t xml:space="preserve">eneral </w:t>
      </w:r>
      <w:r w:rsidRPr="00813E2C">
        <w:rPr>
          <w:rFonts w:ascii="Times New Roman" w:hAnsi="Times New Roman"/>
          <w:sz w:val="24"/>
          <w:szCs w:val="24"/>
          <w:lang w:val="en-GB"/>
        </w:rPr>
        <w:t>C</w:t>
      </w:r>
      <w:r>
        <w:rPr>
          <w:rFonts w:ascii="Times New Roman" w:hAnsi="Times New Roman"/>
          <w:sz w:val="24"/>
          <w:szCs w:val="24"/>
          <w:lang w:val="en-GB"/>
        </w:rPr>
        <w:t>ourt</w:t>
      </w:r>
      <w:r w:rsidRPr="00813E2C">
        <w:rPr>
          <w:rFonts w:ascii="Times New Roman" w:hAnsi="Times New Roman"/>
          <w:sz w:val="24"/>
          <w:szCs w:val="24"/>
          <w:lang w:val="en-GB"/>
        </w:rPr>
        <w:t xml:space="preserve">’s </w:t>
      </w:r>
      <w:r>
        <w:rPr>
          <w:rFonts w:ascii="Times New Roman" w:hAnsi="Times New Roman"/>
          <w:sz w:val="24"/>
          <w:szCs w:val="24"/>
          <w:lang w:val="en-GB"/>
        </w:rPr>
        <w:t>27</w:t>
      </w:r>
      <w:r w:rsidRPr="00813E2C">
        <w:rPr>
          <w:rFonts w:ascii="Times New Roman" w:hAnsi="Times New Roman"/>
          <w:sz w:val="24"/>
          <w:szCs w:val="24"/>
          <w:lang w:val="en-GB"/>
        </w:rPr>
        <w:t xml:space="preserve"> judges and of the Civil Service Tribunal’s </w:t>
      </w:r>
      <w:r>
        <w:rPr>
          <w:rFonts w:ascii="Times New Roman" w:hAnsi="Times New Roman"/>
          <w:sz w:val="24"/>
          <w:szCs w:val="24"/>
          <w:lang w:val="en-GB"/>
        </w:rPr>
        <w:t>seven</w:t>
      </w:r>
      <w:r w:rsidRPr="00813E2C">
        <w:rPr>
          <w:rFonts w:ascii="Times New Roman" w:hAnsi="Times New Roman"/>
          <w:sz w:val="24"/>
          <w:szCs w:val="24"/>
          <w:lang w:val="en-GB"/>
        </w:rPr>
        <w:t xml:space="preserve"> judges, all appointed by the common accord of the governments of the Member States for a renewable term of six years.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With regard to appointments</w:t>
      </w:r>
      <w:r>
        <w:rPr>
          <w:rFonts w:ascii="Times New Roman" w:hAnsi="Times New Roman"/>
          <w:sz w:val="24"/>
          <w:szCs w:val="24"/>
          <w:lang w:val="en-GB"/>
        </w:rPr>
        <w:t xml:space="preserve"> of the judges, the basic rule</w:t>
      </w:r>
      <w:r w:rsidRPr="00813E2C">
        <w:rPr>
          <w:rFonts w:ascii="Times New Roman" w:hAnsi="Times New Roman"/>
          <w:sz w:val="24"/>
          <w:szCs w:val="24"/>
          <w:lang w:val="en-GB"/>
        </w:rPr>
        <w:t xml:space="preserve"> is </w:t>
      </w:r>
      <w:r>
        <w:rPr>
          <w:rFonts w:ascii="Times New Roman" w:hAnsi="Times New Roman"/>
          <w:sz w:val="24"/>
          <w:szCs w:val="24"/>
          <w:lang w:val="en-GB"/>
        </w:rPr>
        <w:t>‘</w:t>
      </w:r>
      <w:r w:rsidRPr="00813E2C">
        <w:rPr>
          <w:rFonts w:ascii="Times New Roman" w:hAnsi="Times New Roman"/>
          <w:sz w:val="24"/>
          <w:szCs w:val="24"/>
          <w:lang w:val="en-GB"/>
        </w:rPr>
        <w:t>one State, one judge</w:t>
      </w:r>
      <w:r>
        <w:rPr>
          <w:rFonts w:ascii="Times New Roman" w:hAnsi="Times New Roman"/>
          <w:sz w:val="24"/>
          <w:szCs w:val="24"/>
          <w:lang w:val="en-GB"/>
        </w:rPr>
        <w:t xml:space="preserve">’: </w:t>
      </w:r>
      <w:r w:rsidRPr="00813E2C">
        <w:rPr>
          <w:rFonts w:ascii="Times New Roman" w:hAnsi="Times New Roman"/>
          <w:sz w:val="24"/>
          <w:szCs w:val="24"/>
          <w:lang w:val="en-GB"/>
        </w:rPr>
        <w:t xml:space="preserve">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consists of one judge from each Member State. Each judge is proposed by their country of origin, and in practice the choice made by the national government is never disputed by other national governments. To a limited extent, therefore,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is a repres</w:t>
      </w:r>
      <w:r>
        <w:rPr>
          <w:rFonts w:ascii="Times New Roman" w:hAnsi="Times New Roman"/>
          <w:sz w:val="24"/>
          <w:szCs w:val="24"/>
          <w:lang w:val="en-GB"/>
        </w:rPr>
        <w:t xml:space="preserve">entative jurisdiction whose </w:t>
      </w:r>
      <w:r w:rsidRPr="00813E2C">
        <w:rPr>
          <w:rFonts w:ascii="Times New Roman" w:hAnsi="Times New Roman"/>
          <w:sz w:val="24"/>
          <w:szCs w:val="24"/>
          <w:lang w:val="en-GB"/>
        </w:rPr>
        <w:t xml:space="preserve">members have always been appointed by common accord of the Member States without any formal assessment of their appropriateness at European level. </w:t>
      </w:r>
      <w:r>
        <w:rPr>
          <w:rFonts w:ascii="Times New Roman" w:hAnsi="Times New Roman"/>
          <w:sz w:val="24"/>
          <w:szCs w:val="24"/>
          <w:lang w:val="en-GB"/>
        </w:rPr>
        <w:t>‘</w:t>
      </w:r>
      <w:r w:rsidRPr="00813E2C">
        <w:rPr>
          <w:rFonts w:ascii="Times New Roman" w:hAnsi="Times New Roman"/>
          <w:sz w:val="24"/>
          <w:szCs w:val="24"/>
          <w:lang w:val="en-GB"/>
        </w:rPr>
        <w:t xml:space="preserve">It is in the muffled atmosphere of ministerial cabinets and diplomatic meetings, sheltered from the public gaze, that the members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are appointed</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3"/>
      </w:r>
      <w:r w:rsidRPr="00813E2C">
        <w:rPr>
          <w:rFonts w:ascii="Times New Roman" w:hAnsi="Times New Roman"/>
          <w:sz w:val="24"/>
          <w:szCs w:val="24"/>
          <w:lang w:val="en-GB"/>
        </w:rPr>
        <w:t xml:space="preserve"> As the mandate of the judges is renewable, the system of appointment gives national authorities a means of applying pressure on the Court</w:t>
      </w:r>
      <w:r>
        <w:rPr>
          <w:rFonts w:ascii="Times New Roman" w:hAnsi="Times New Roman"/>
          <w:sz w:val="24"/>
          <w:szCs w:val="24"/>
          <w:lang w:val="en-GB"/>
        </w:rPr>
        <w:t>,</w:t>
      </w:r>
      <w:r w:rsidRPr="00813E2C">
        <w:rPr>
          <w:rFonts w:ascii="Times New Roman" w:hAnsi="Times New Roman"/>
          <w:sz w:val="24"/>
          <w:szCs w:val="24"/>
          <w:lang w:val="en-GB"/>
        </w:rPr>
        <w:t xml:space="preserve"> and this raises concerns for </w:t>
      </w:r>
      <w:r>
        <w:rPr>
          <w:rFonts w:ascii="Times New Roman" w:hAnsi="Times New Roman"/>
          <w:sz w:val="24"/>
          <w:szCs w:val="24"/>
          <w:lang w:val="en-GB"/>
        </w:rPr>
        <w:t>its</w:t>
      </w:r>
      <w:r w:rsidRPr="00813E2C">
        <w:rPr>
          <w:rFonts w:ascii="Times New Roman" w:hAnsi="Times New Roman"/>
          <w:sz w:val="24"/>
          <w:szCs w:val="24"/>
          <w:lang w:val="en-GB"/>
        </w:rPr>
        <w:t xml:space="preserve"> independence.</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In order to meet these concerns, the Lisbon Treaty modified the appointment procedure and required the Member States to consult a panel before appointing </w:t>
      </w:r>
      <w:r>
        <w:rPr>
          <w:rFonts w:ascii="Times New Roman" w:hAnsi="Times New Roman"/>
          <w:sz w:val="24"/>
          <w:szCs w:val="24"/>
          <w:lang w:val="en-GB"/>
        </w:rPr>
        <w:t xml:space="preserve">the members of the </w:t>
      </w:r>
      <w:r w:rsidRPr="003D634E">
        <w:rPr>
          <w:rFonts w:ascii="Times New Roman" w:hAnsi="Times New Roman"/>
          <w:sz w:val="24"/>
          <w:szCs w:val="24"/>
          <w:lang w:val="en-GB"/>
        </w:rPr>
        <w:t>Court of Justice</w:t>
      </w:r>
      <w:r>
        <w:rPr>
          <w:rFonts w:ascii="Times New Roman" w:hAnsi="Times New Roman"/>
          <w:sz w:val="24"/>
          <w:szCs w:val="24"/>
          <w:lang w:val="en-GB"/>
        </w:rPr>
        <w:t xml:space="preserve"> and the </w:t>
      </w:r>
      <w:r w:rsidRPr="00813E2C">
        <w:rPr>
          <w:rFonts w:ascii="Times New Roman" w:hAnsi="Times New Roman"/>
          <w:sz w:val="24"/>
          <w:szCs w:val="24"/>
          <w:lang w:val="en-GB"/>
        </w:rPr>
        <w:t>G</w:t>
      </w:r>
      <w:r>
        <w:rPr>
          <w:rFonts w:ascii="Times New Roman" w:hAnsi="Times New Roman"/>
          <w:sz w:val="24"/>
          <w:szCs w:val="24"/>
          <w:lang w:val="en-GB"/>
        </w:rPr>
        <w:t xml:space="preserve">eneral </w:t>
      </w:r>
      <w:r w:rsidRPr="00813E2C">
        <w:rPr>
          <w:rFonts w:ascii="Times New Roman" w:hAnsi="Times New Roman"/>
          <w:sz w:val="24"/>
          <w:szCs w:val="24"/>
          <w:lang w:val="en-GB"/>
        </w:rPr>
        <w:t>C</w:t>
      </w:r>
      <w:r>
        <w:rPr>
          <w:rFonts w:ascii="Times New Roman" w:hAnsi="Times New Roman"/>
          <w:sz w:val="24"/>
          <w:szCs w:val="24"/>
          <w:lang w:val="en-GB"/>
        </w:rPr>
        <w:t>ourt</w:t>
      </w:r>
      <w:r w:rsidRPr="00813E2C">
        <w:rPr>
          <w:rFonts w:ascii="Times New Roman" w:hAnsi="Times New Roman"/>
          <w:sz w:val="24"/>
          <w:szCs w:val="24"/>
          <w:lang w:val="en-GB"/>
        </w:rPr>
        <w:t xml:space="preserve"> so </w:t>
      </w:r>
      <w:r w:rsidRPr="0036319E">
        <w:rPr>
          <w:rFonts w:ascii="Times New Roman" w:hAnsi="Times New Roman"/>
          <w:sz w:val="24"/>
          <w:szCs w:val="24"/>
          <w:lang w:val="en-GB"/>
        </w:rPr>
        <w:t xml:space="preserve">as to obtain a </w:t>
      </w:r>
      <w:r w:rsidRPr="00813E2C">
        <w:rPr>
          <w:rFonts w:ascii="Times New Roman" w:hAnsi="Times New Roman"/>
          <w:sz w:val="24"/>
          <w:szCs w:val="24"/>
          <w:lang w:val="en-GB"/>
        </w:rPr>
        <w:t xml:space="preserve">non-binding opinion on candidates’ </w:t>
      </w:r>
      <w:r>
        <w:rPr>
          <w:rFonts w:ascii="Times New Roman" w:hAnsi="Times New Roman"/>
          <w:sz w:val="24"/>
          <w:szCs w:val="24"/>
          <w:lang w:val="en-GB"/>
        </w:rPr>
        <w:t>suitability for office</w:t>
      </w:r>
      <w:r>
        <w:rPr>
          <w:rStyle w:val="Rimandonotaapidipagina"/>
          <w:rFonts w:ascii="Times New Roman" w:hAnsi="Times New Roman"/>
          <w:sz w:val="24"/>
          <w:szCs w:val="24"/>
          <w:lang w:val="en-GB"/>
        </w:rPr>
        <w:footnoteReference w:id="14"/>
      </w:r>
      <w:r>
        <w:rPr>
          <w:rFonts w:ascii="Times New Roman" w:hAnsi="Times New Roman"/>
          <w:sz w:val="24"/>
          <w:szCs w:val="24"/>
          <w:lang w:val="en-GB"/>
        </w:rPr>
        <w:t>. T</w:t>
      </w:r>
      <w:r w:rsidRPr="00813E2C">
        <w:rPr>
          <w:rFonts w:ascii="Times New Roman" w:hAnsi="Times New Roman"/>
          <w:sz w:val="24"/>
          <w:szCs w:val="24"/>
          <w:lang w:val="en-GB"/>
        </w:rPr>
        <w:t xml:space="preserve">he strongest guarantee of the </w:t>
      </w:r>
      <w:r w:rsidRPr="003D634E">
        <w:rPr>
          <w:rFonts w:ascii="Times New Roman" w:hAnsi="Times New Roman"/>
          <w:sz w:val="24"/>
          <w:szCs w:val="24"/>
          <w:lang w:val="en-GB"/>
        </w:rPr>
        <w:t>Court</w:t>
      </w:r>
      <w:r>
        <w:rPr>
          <w:rFonts w:ascii="Times New Roman" w:hAnsi="Times New Roman"/>
          <w:sz w:val="24"/>
          <w:szCs w:val="24"/>
          <w:lang w:val="en-GB"/>
        </w:rPr>
        <w:t>’</w:t>
      </w:r>
      <w:r w:rsidRPr="00813E2C">
        <w:rPr>
          <w:rFonts w:ascii="Times New Roman" w:hAnsi="Times New Roman"/>
          <w:sz w:val="24"/>
          <w:szCs w:val="24"/>
          <w:lang w:val="en-GB"/>
        </w:rPr>
        <w:t>s independence</w:t>
      </w:r>
      <w:r>
        <w:rPr>
          <w:rFonts w:ascii="Times New Roman" w:hAnsi="Times New Roman"/>
          <w:sz w:val="24"/>
          <w:szCs w:val="24"/>
          <w:lang w:val="en-GB"/>
        </w:rPr>
        <w:t>, however,</w:t>
      </w:r>
      <w:r w:rsidRPr="00813E2C">
        <w:rPr>
          <w:rFonts w:ascii="Times New Roman" w:hAnsi="Times New Roman"/>
          <w:sz w:val="24"/>
          <w:szCs w:val="24"/>
          <w:lang w:val="en-GB"/>
        </w:rPr>
        <w:t xml:space="preserve"> lies in the fact that decisions are taken collegiately and that judges’ deliberations remain secret. </w:t>
      </w:r>
      <w:r>
        <w:rPr>
          <w:rFonts w:ascii="Times New Roman" w:hAnsi="Times New Roman"/>
          <w:sz w:val="24"/>
          <w:szCs w:val="24"/>
          <w:lang w:val="en-GB"/>
        </w:rPr>
        <w:t>Judgme</w:t>
      </w:r>
      <w:r w:rsidRPr="00813E2C">
        <w:rPr>
          <w:rFonts w:ascii="Times New Roman" w:hAnsi="Times New Roman"/>
          <w:sz w:val="24"/>
          <w:szCs w:val="24"/>
          <w:lang w:val="en-GB"/>
        </w:rPr>
        <w:t xml:space="preserve">nts contain no indications of the votes taken nor do they contain any dissenting opinion. Obviously, if the judges’ votes and opinions were published, the governments would be able to check and control their nominees. In addition, it seems that a guarantee is provided by the strong group identity and institutional culture that the </w:t>
      </w:r>
      <w:r w:rsidRPr="003D634E">
        <w:rPr>
          <w:rFonts w:ascii="Times New Roman" w:hAnsi="Times New Roman"/>
          <w:sz w:val="24"/>
          <w:szCs w:val="24"/>
          <w:lang w:val="en-GB"/>
        </w:rPr>
        <w:t xml:space="preserve">Court </w:t>
      </w:r>
      <w:r w:rsidRPr="00813E2C">
        <w:rPr>
          <w:rFonts w:ascii="Times New Roman" w:hAnsi="Times New Roman"/>
          <w:sz w:val="24"/>
          <w:szCs w:val="24"/>
          <w:lang w:val="en-GB"/>
        </w:rPr>
        <w:t>has been able to develop and consolidate over the course of time</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5"/>
      </w:r>
      <w:r w:rsidRPr="00813E2C">
        <w:rPr>
          <w:rFonts w:ascii="Times New Roman" w:hAnsi="Times New Roman"/>
          <w:sz w:val="24"/>
          <w:szCs w:val="24"/>
          <w:lang w:val="en-GB"/>
        </w:rPr>
        <w:t xml:space="preserve"> which hinders – although cannot fully prevent – the risk of a judge acting as a docile instrument of his or her government of origin.</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Little information exists, however, about how Member States select their members for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no thorough study has ever been conducted on who the judges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are, their social backgrounds, and their political preferences</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6"/>
      </w:r>
      <w:r w:rsidRPr="00813E2C">
        <w:rPr>
          <w:rFonts w:ascii="Times New Roman" w:hAnsi="Times New Roman"/>
          <w:sz w:val="24"/>
          <w:szCs w:val="24"/>
          <w:lang w:val="en-GB"/>
        </w:rPr>
        <w:t xml:space="preserve"> We know that the judges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are chiefly professors, often of community, comparative, or international law; most of them have previous judicial experience in their Member State of origin, often as judges of the supreme </w:t>
      </w:r>
      <w:r w:rsidRPr="00813E2C">
        <w:rPr>
          <w:rFonts w:ascii="Times New Roman" w:hAnsi="Times New Roman"/>
          <w:sz w:val="24"/>
          <w:szCs w:val="24"/>
          <w:lang w:val="en-GB"/>
        </w:rPr>
        <w:lastRenderedPageBreak/>
        <w:t xml:space="preserve">courts or constitutional courts; not infrequently they have professional backgrounds as higher civil servants, politicians and lawyers. We </w:t>
      </w:r>
      <w:r>
        <w:rPr>
          <w:rFonts w:ascii="Times New Roman" w:hAnsi="Times New Roman"/>
          <w:sz w:val="24"/>
          <w:szCs w:val="24"/>
          <w:lang w:val="en-GB"/>
        </w:rPr>
        <w:t xml:space="preserve">also </w:t>
      </w:r>
      <w:r w:rsidRPr="00813E2C">
        <w:rPr>
          <w:rFonts w:ascii="Times New Roman" w:hAnsi="Times New Roman"/>
          <w:sz w:val="24"/>
          <w:szCs w:val="24"/>
          <w:lang w:val="en-GB"/>
        </w:rPr>
        <w:t xml:space="preserve">know that while the very first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included members that were lacking any prior judicial experience (e.g. a trade unionist and an economist) and low-profile and soon-to-retired jurists, today the technical expertise</w:t>
      </w:r>
      <w:r w:rsidRPr="00866097">
        <w:rPr>
          <w:rFonts w:ascii="Times New Roman" w:hAnsi="Times New Roman"/>
          <w:sz w:val="24"/>
          <w:szCs w:val="24"/>
          <w:lang w:val="en-GB"/>
        </w:rPr>
        <w:t xml:space="preserve"> </w:t>
      </w:r>
      <w:r w:rsidRPr="00813E2C">
        <w:rPr>
          <w:rFonts w:ascii="Times New Roman" w:hAnsi="Times New Roman"/>
          <w:sz w:val="24"/>
          <w:szCs w:val="24"/>
          <w:lang w:val="en-GB"/>
        </w:rPr>
        <w:t>of the members of the Court is generally high, with a predominance of the academic component</w:t>
      </w:r>
      <w:r>
        <w:rPr>
          <w:rFonts w:ascii="Times New Roman" w:hAnsi="Times New Roman"/>
          <w:sz w:val="24"/>
          <w:szCs w:val="24"/>
          <w:lang w:val="en-GB"/>
        </w:rPr>
        <w:t xml:space="preserve">. The prestige of the judges of the Court is generally superior to that of the EU law professors, and their annual salary is approximately € 250,000.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But about the judges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we do not know much more. Notwithstanding the </w:t>
      </w:r>
      <w:r>
        <w:rPr>
          <w:rFonts w:ascii="Times New Roman" w:hAnsi="Times New Roman"/>
          <w:sz w:val="24"/>
          <w:szCs w:val="24"/>
          <w:lang w:val="en-GB"/>
        </w:rPr>
        <w:t>‘</w:t>
      </w:r>
      <w:r w:rsidRPr="00813E2C">
        <w:rPr>
          <w:rFonts w:ascii="Times New Roman" w:hAnsi="Times New Roman"/>
          <w:sz w:val="24"/>
          <w:szCs w:val="24"/>
          <w:lang w:val="en-GB"/>
        </w:rPr>
        <w:t>contextual</w:t>
      </w:r>
      <w:r>
        <w:rPr>
          <w:rFonts w:ascii="Times New Roman" w:hAnsi="Times New Roman"/>
          <w:sz w:val="24"/>
          <w:szCs w:val="24"/>
          <w:lang w:val="en-GB"/>
        </w:rPr>
        <w:t>’</w:t>
      </w:r>
      <w:r w:rsidRPr="00813E2C">
        <w:rPr>
          <w:rFonts w:ascii="Times New Roman" w:hAnsi="Times New Roman"/>
          <w:sz w:val="24"/>
          <w:szCs w:val="24"/>
          <w:lang w:val="en-GB"/>
        </w:rPr>
        <w:t xml:space="preserve"> and political-science inspired approach of many of today’s legal studies on the EU, their tendency to abandon a purely legal-dogmatic approach to their subject, the mainstream legal doctrine has been largely unresponsive to Martin Shapiro’s call for </w:t>
      </w:r>
      <w:r>
        <w:rPr>
          <w:rFonts w:ascii="Times New Roman" w:hAnsi="Times New Roman"/>
          <w:sz w:val="24"/>
          <w:szCs w:val="24"/>
          <w:lang w:val="en-GB"/>
        </w:rPr>
        <w:t>‘</w:t>
      </w:r>
      <w:r w:rsidRPr="00813E2C">
        <w:rPr>
          <w:rFonts w:ascii="Times New Roman" w:hAnsi="Times New Roman"/>
          <w:sz w:val="24"/>
          <w:szCs w:val="24"/>
          <w:lang w:val="en-GB"/>
        </w:rPr>
        <w:t xml:space="preserve">exposing ... the human flesh of its [the </w:t>
      </w:r>
      <w:r w:rsidRPr="003D634E">
        <w:rPr>
          <w:rFonts w:ascii="Times New Roman" w:hAnsi="Times New Roman"/>
          <w:sz w:val="24"/>
          <w:szCs w:val="24"/>
          <w:lang w:val="en-GB"/>
        </w:rPr>
        <w:t>Court of Justice</w:t>
      </w:r>
      <w:r w:rsidRPr="00813E2C">
        <w:rPr>
          <w:rFonts w:ascii="Times New Roman" w:hAnsi="Times New Roman"/>
          <w:sz w:val="24"/>
          <w:szCs w:val="24"/>
          <w:lang w:val="en-GB"/>
        </w:rPr>
        <w:t>’s] judges</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7"/>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4</w:t>
      </w:r>
      <w:r w:rsidRPr="00813E2C">
        <w:rPr>
          <w:rFonts w:ascii="Times New Roman" w:hAnsi="Times New Roman"/>
          <w:sz w:val="24"/>
          <w:szCs w:val="24"/>
          <w:lang w:val="en-GB"/>
        </w:rPr>
        <w:t xml:space="preserve">. </w:t>
      </w:r>
      <w:r w:rsidRPr="00813E2C">
        <w:rPr>
          <w:rFonts w:ascii="Times New Roman" w:hAnsi="Times New Roman"/>
          <w:i/>
          <w:sz w:val="24"/>
          <w:szCs w:val="24"/>
          <w:lang w:val="en-GB"/>
        </w:rPr>
        <w:t xml:space="preserve">The </w:t>
      </w:r>
      <w:r>
        <w:rPr>
          <w:rFonts w:ascii="Times New Roman" w:hAnsi="Times New Roman"/>
          <w:i/>
          <w:sz w:val="24"/>
          <w:szCs w:val="24"/>
          <w:lang w:val="en-GB"/>
        </w:rPr>
        <w:t>A</w:t>
      </w:r>
      <w:r w:rsidRPr="00813E2C">
        <w:rPr>
          <w:rFonts w:ascii="Times New Roman" w:hAnsi="Times New Roman"/>
          <w:i/>
          <w:sz w:val="24"/>
          <w:szCs w:val="24"/>
          <w:lang w:val="en-GB"/>
        </w:rPr>
        <w:t xml:space="preserve">dvocates </w:t>
      </w:r>
      <w:r>
        <w:rPr>
          <w:rFonts w:ascii="Times New Roman" w:hAnsi="Times New Roman"/>
          <w:i/>
          <w:sz w:val="24"/>
          <w:szCs w:val="24"/>
          <w:lang w:val="en-GB"/>
        </w:rPr>
        <w:t>G</w:t>
      </w:r>
      <w:r w:rsidRPr="00813E2C">
        <w:rPr>
          <w:rFonts w:ascii="Times New Roman" w:hAnsi="Times New Roman"/>
          <w:i/>
          <w:sz w:val="24"/>
          <w:szCs w:val="24"/>
          <w:lang w:val="en-GB"/>
        </w:rPr>
        <w:t>eneral</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is assi</w:t>
      </w:r>
      <w:r>
        <w:rPr>
          <w:rFonts w:ascii="Times New Roman" w:hAnsi="Times New Roman"/>
          <w:sz w:val="24"/>
          <w:szCs w:val="24"/>
          <w:lang w:val="en-GB"/>
        </w:rPr>
        <w:t>sted by eight Advocates General</w:t>
      </w:r>
      <w:r w:rsidRPr="00813E2C">
        <w:rPr>
          <w:rFonts w:ascii="Times New Roman" w:hAnsi="Times New Roman"/>
          <w:sz w:val="24"/>
          <w:szCs w:val="24"/>
          <w:lang w:val="en-GB"/>
        </w:rPr>
        <w:t xml:space="preserve">. Their presence is an original feature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inspired by the </w:t>
      </w:r>
      <w:r w:rsidRPr="00813E2C">
        <w:rPr>
          <w:rFonts w:ascii="Times New Roman" w:hAnsi="Times New Roman"/>
          <w:i/>
          <w:sz w:val="24"/>
          <w:szCs w:val="24"/>
          <w:lang w:val="en-GB"/>
        </w:rPr>
        <w:t>Commissionaires du government</w:t>
      </w:r>
      <w:r w:rsidRPr="00813E2C">
        <w:rPr>
          <w:rFonts w:ascii="Times New Roman" w:hAnsi="Times New Roman"/>
          <w:sz w:val="24"/>
          <w:szCs w:val="24"/>
          <w:lang w:val="en-GB"/>
        </w:rPr>
        <w:t xml:space="preserve"> who appear before the French </w:t>
      </w:r>
      <w:r w:rsidRPr="00813E2C">
        <w:rPr>
          <w:rFonts w:ascii="Times New Roman" w:hAnsi="Times New Roman"/>
          <w:i/>
          <w:sz w:val="24"/>
          <w:szCs w:val="24"/>
          <w:lang w:val="en-GB"/>
        </w:rPr>
        <w:t>Conseil d’Etat</w:t>
      </w:r>
      <w:r w:rsidRPr="00813E2C">
        <w:rPr>
          <w:rFonts w:ascii="Times New Roman" w:hAnsi="Times New Roman"/>
          <w:sz w:val="24"/>
          <w:szCs w:val="24"/>
          <w:lang w:val="en-GB"/>
        </w:rPr>
        <w:t>. They do not directly take part in the Court’s deliberations</w:t>
      </w:r>
      <w:r>
        <w:rPr>
          <w:rFonts w:ascii="Times New Roman" w:hAnsi="Times New Roman"/>
          <w:sz w:val="24"/>
          <w:szCs w:val="24"/>
          <w:lang w:val="en-GB"/>
        </w:rPr>
        <w:t>,</w:t>
      </w:r>
      <w:r w:rsidRPr="00813E2C">
        <w:rPr>
          <w:rFonts w:ascii="Times New Roman" w:hAnsi="Times New Roman"/>
          <w:sz w:val="24"/>
          <w:szCs w:val="24"/>
          <w:lang w:val="en-GB"/>
        </w:rPr>
        <w:t xml:space="preserve"> but are subject to the same conditions of recruitment and are appointed by means of the same process as the judges, are subject to the same duties of impartiality and independence, receive the same salary and, according to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w:t>
      </w:r>
      <w:r>
        <w:rPr>
          <w:rFonts w:ascii="Times New Roman" w:hAnsi="Times New Roman"/>
          <w:sz w:val="24"/>
          <w:szCs w:val="24"/>
          <w:lang w:val="en-GB"/>
        </w:rPr>
        <w:t>‘</w:t>
      </w:r>
      <w:r w:rsidRPr="00813E2C">
        <w:rPr>
          <w:rFonts w:ascii="Times New Roman" w:hAnsi="Times New Roman"/>
          <w:iCs/>
          <w:sz w:val="24"/>
          <w:szCs w:val="24"/>
          <w:lang w:val="en-GB"/>
        </w:rPr>
        <w:t>have the same status as the Judges, particularly so far as concerns immunity and the grounds on which they may be deprived of their office</w:t>
      </w:r>
      <w:r>
        <w:rPr>
          <w:rFonts w:ascii="Times New Roman" w:hAnsi="Times New Roman"/>
          <w:iCs/>
          <w:sz w:val="24"/>
          <w:szCs w:val="24"/>
          <w:lang w:val="en-GB"/>
        </w:rPr>
        <w:t>’.</w:t>
      </w:r>
      <w:r w:rsidRPr="00813E2C">
        <w:rPr>
          <w:rStyle w:val="Rimandonotaapidipagina"/>
          <w:rFonts w:ascii="Times New Roman" w:hAnsi="Times New Roman"/>
          <w:iCs/>
          <w:sz w:val="24"/>
          <w:szCs w:val="24"/>
          <w:lang w:val="en-GB"/>
        </w:rPr>
        <w:footnoteReference w:id="18"/>
      </w:r>
      <w:r w:rsidRPr="00813E2C">
        <w:rPr>
          <w:rFonts w:ascii="Times New Roman" w:hAnsi="Times New Roman"/>
          <w:sz w:val="24"/>
          <w:szCs w:val="24"/>
          <w:lang w:val="en-GB"/>
        </w:rPr>
        <w:t xml:space="preserve"> The</w:t>
      </w:r>
      <w:r>
        <w:rPr>
          <w:rFonts w:ascii="Times New Roman" w:hAnsi="Times New Roman"/>
          <w:sz w:val="24"/>
          <w:szCs w:val="24"/>
          <w:lang w:val="en-GB"/>
        </w:rPr>
        <w:t xml:space="preserve">y act </w:t>
      </w:r>
      <w:r w:rsidRPr="00813E2C">
        <w:rPr>
          <w:rFonts w:ascii="Times New Roman" w:hAnsi="Times New Roman"/>
          <w:sz w:val="24"/>
          <w:szCs w:val="24"/>
          <w:lang w:val="en-GB"/>
        </w:rPr>
        <w:t xml:space="preserve">as a kind of institutionalised </w:t>
      </w:r>
      <w:r w:rsidRPr="00813E2C">
        <w:rPr>
          <w:rFonts w:ascii="Times New Roman" w:hAnsi="Times New Roman"/>
          <w:i/>
          <w:sz w:val="24"/>
          <w:szCs w:val="24"/>
          <w:lang w:val="en-GB"/>
        </w:rPr>
        <w:t>amicus curiae</w:t>
      </w:r>
      <w:r w:rsidRPr="00813E2C">
        <w:rPr>
          <w:rFonts w:ascii="Times New Roman" w:hAnsi="Times New Roman"/>
          <w:sz w:val="24"/>
          <w:szCs w:val="24"/>
          <w:lang w:val="en-GB"/>
        </w:rPr>
        <w:t xml:space="preserve"> – an </w:t>
      </w:r>
      <w:r w:rsidRPr="00813E2C">
        <w:rPr>
          <w:rFonts w:ascii="Times New Roman" w:hAnsi="Times New Roman"/>
          <w:i/>
          <w:sz w:val="24"/>
          <w:szCs w:val="24"/>
          <w:lang w:val="en-GB"/>
        </w:rPr>
        <w:t>amicus curiae</w:t>
      </w:r>
      <w:r w:rsidRPr="00813E2C">
        <w:rPr>
          <w:rFonts w:ascii="Times New Roman" w:hAnsi="Times New Roman"/>
          <w:sz w:val="24"/>
          <w:szCs w:val="24"/>
          <w:lang w:val="en-GB"/>
        </w:rPr>
        <w:t xml:space="preserve"> which is internal to the Court</w:t>
      </w:r>
      <w:r>
        <w:rPr>
          <w:rFonts w:ascii="Times New Roman" w:hAnsi="Times New Roman"/>
          <w:sz w:val="24"/>
          <w:szCs w:val="24"/>
          <w:lang w:val="en-GB"/>
        </w:rPr>
        <w:t xml:space="preserve"> </w:t>
      </w:r>
      <w:r w:rsidRPr="00813E2C">
        <w:rPr>
          <w:rFonts w:ascii="Times New Roman" w:hAnsi="Times New Roman"/>
          <w:sz w:val="24"/>
          <w:szCs w:val="24"/>
          <w:lang w:val="en-GB"/>
        </w:rPr>
        <w:t>–</w:t>
      </w:r>
      <w:r>
        <w:rPr>
          <w:rFonts w:ascii="Times New Roman" w:hAnsi="Times New Roman"/>
          <w:sz w:val="24"/>
          <w:szCs w:val="24"/>
          <w:lang w:val="en-GB"/>
        </w:rPr>
        <w:t xml:space="preserve"> and </w:t>
      </w:r>
      <w:r w:rsidRPr="00813E2C">
        <w:rPr>
          <w:rFonts w:ascii="Times New Roman" w:hAnsi="Times New Roman"/>
          <w:sz w:val="24"/>
          <w:szCs w:val="24"/>
          <w:lang w:val="en-GB"/>
        </w:rPr>
        <w:t xml:space="preserve">deliver a written opinion after the hearing and before the </w:t>
      </w:r>
      <w:r>
        <w:rPr>
          <w:rFonts w:ascii="Times New Roman" w:hAnsi="Times New Roman"/>
          <w:sz w:val="24"/>
          <w:szCs w:val="24"/>
          <w:lang w:val="en-GB"/>
        </w:rPr>
        <w:t>judgme</w:t>
      </w:r>
      <w:r w:rsidRPr="00813E2C">
        <w:rPr>
          <w:rFonts w:ascii="Times New Roman" w:hAnsi="Times New Roman"/>
          <w:sz w:val="24"/>
          <w:szCs w:val="24"/>
          <w:lang w:val="en-GB"/>
        </w:rPr>
        <w:t>nt</w:t>
      </w:r>
      <w:r>
        <w:rPr>
          <w:rFonts w:ascii="Times New Roman" w:hAnsi="Times New Roman"/>
          <w:sz w:val="24"/>
          <w:szCs w:val="24"/>
          <w:lang w:val="en-GB"/>
        </w:rPr>
        <w:t xml:space="preserve">. In the opinion, the </w:t>
      </w:r>
      <w:r w:rsidRPr="00813E2C">
        <w:rPr>
          <w:rFonts w:ascii="Times New Roman" w:hAnsi="Times New Roman"/>
          <w:sz w:val="24"/>
          <w:szCs w:val="24"/>
          <w:lang w:val="en-GB"/>
        </w:rPr>
        <w:t>Advocate General</w:t>
      </w:r>
      <w:r>
        <w:rPr>
          <w:rFonts w:ascii="Times New Roman" w:hAnsi="Times New Roman"/>
          <w:sz w:val="24"/>
          <w:szCs w:val="24"/>
          <w:lang w:val="en-GB"/>
        </w:rPr>
        <w:t xml:space="preserve"> reviews</w:t>
      </w:r>
      <w:r w:rsidRPr="00813E2C">
        <w:rPr>
          <w:rFonts w:ascii="Times New Roman" w:hAnsi="Times New Roman"/>
          <w:sz w:val="24"/>
          <w:szCs w:val="24"/>
          <w:lang w:val="en-GB"/>
        </w:rPr>
        <w:t xml:space="preserve"> the facts of the case, evaluate</w:t>
      </w:r>
      <w:r>
        <w:rPr>
          <w:rFonts w:ascii="Times New Roman" w:hAnsi="Times New Roman"/>
          <w:sz w:val="24"/>
          <w:szCs w:val="24"/>
          <w:lang w:val="en-GB"/>
        </w:rPr>
        <w:t>s</w:t>
      </w:r>
      <w:r w:rsidRPr="00813E2C">
        <w:rPr>
          <w:rFonts w:ascii="Times New Roman" w:hAnsi="Times New Roman"/>
          <w:sz w:val="24"/>
          <w:szCs w:val="24"/>
          <w:lang w:val="en-GB"/>
        </w:rPr>
        <w:t xml:space="preserve"> the arguments of the parties</w:t>
      </w:r>
      <w:r>
        <w:rPr>
          <w:rFonts w:ascii="Times New Roman" w:hAnsi="Times New Roman"/>
          <w:sz w:val="24"/>
          <w:szCs w:val="24"/>
          <w:lang w:val="en-GB"/>
        </w:rPr>
        <w:t xml:space="preserve">, reports the </w:t>
      </w:r>
      <w:r w:rsidRPr="00813E2C">
        <w:rPr>
          <w:rFonts w:ascii="Times New Roman" w:hAnsi="Times New Roman"/>
          <w:sz w:val="24"/>
          <w:szCs w:val="24"/>
          <w:lang w:val="en-GB"/>
        </w:rPr>
        <w:t xml:space="preserve">existing law </w:t>
      </w:r>
      <w:r>
        <w:rPr>
          <w:rFonts w:ascii="Times New Roman" w:hAnsi="Times New Roman"/>
          <w:sz w:val="24"/>
          <w:szCs w:val="24"/>
          <w:lang w:val="en-GB"/>
        </w:rPr>
        <w:t>and</w:t>
      </w:r>
      <w:r w:rsidRPr="00813E2C">
        <w:rPr>
          <w:rFonts w:ascii="Times New Roman" w:hAnsi="Times New Roman"/>
          <w:sz w:val="24"/>
          <w:szCs w:val="24"/>
          <w:lang w:val="en-GB"/>
        </w:rPr>
        <w:t xml:space="preserve"> cas</w:t>
      </w:r>
      <w:r>
        <w:rPr>
          <w:rFonts w:ascii="Times New Roman" w:hAnsi="Times New Roman"/>
          <w:sz w:val="24"/>
          <w:szCs w:val="24"/>
          <w:lang w:val="en-GB"/>
        </w:rPr>
        <w:t xml:space="preserve">e law, and finally expresses a view </w:t>
      </w:r>
      <w:r w:rsidRPr="00813E2C">
        <w:rPr>
          <w:rFonts w:ascii="Times New Roman" w:hAnsi="Times New Roman"/>
          <w:sz w:val="24"/>
          <w:szCs w:val="24"/>
          <w:lang w:val="en-GB"/>
        </w:rPr>
        <w:t xml:space="preserve">on how the Court should decide. </w:t>
      </w:r>
    </w:p>
    <w:p w:rsidR="005E6612" w:rsidRPr="00D622CF" w:rsidRDefault="005E6612" w:rsidP="00E26947">
      <w:pPr>
        <w:spacing w:line="240" w:lineRule="auto"/>
        <w:jc w:val="both"/>
        <w:rPr>
          <w:rFonts w:ascii="Times New Roman" w:hAnsi="Times New Roman"/>
          <w:sz w:val="20"/>
          <w:szCs w:val="20"/>
          <w:lang w:val="en-GB"/>
        </w:rPr>
      </w:pPr>
      <w:r w:rsidRPr="00813E2C">
        <w:rPr>
          <w:rFonts w:ascii="Times New Roman" w:hAnsi="Times New Roman"/>
          <w:sz w:val="24"/>
          <w:szCs w:val="24"/>
          <w:lang w:val="en-GB"/>
        </w:rPr>
        <w:t xml:space="preserve">Although it is difficult to assess the overall influence of the Advocates Generals’ opinions on the deliberations of the </w:t>
      </w:r>
      <w:r w:rsidRPr="003D634E">
        <w:rPr>
          <w:rFonts w:ascii="Times New Roman" w:hAnsi="Times New Roman"/>
          <w:sz w:val="24"/>
          <w:szCs w:val="24"/>
          <w:lang w:val="en-GB"/>
        </w:rPr>
        <w:t>Court</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9"/>
      </w:r>
      <w:r w:rsidRPr="00813E2C">
        <w:rPr>
          <w:rFonts w:ascii="Times New Roman" w:hAnsi="Times New Roman"/>
          <w:sz w:val="24"/>
          <w:szCs w:val="24"/>
          <w:lang w:val="en-GB"/>
        </w:rPr>
        <w:t xml:space="preserve"> their importance for </w:t>
      </w:r>
      <w:r>
        <w:rPr>
          <w:rFonts w:ascii="Times New Roman" w:hAnsi="Times New Roman"/>
          <w:sz w:val="24"/>
          <w:szCs w:val="24"/>
          <w:lang w:val="en-GB"/>
        </w:rPr>
        <w:t>its</w:t>
      </w:r>
      <w:r w:rsidRPr="00813E2C">
        <w:rPr>
          <w:rFonts w:ascii="Times New Roman" w:hAnsi="Times New Roman"/>
          <w:sz w:val="24"/>
          <w:szCs w:val="24"/>
          <w:lang w:val="en-GB"/>
        </w:rPr>
        <w:t xml:space="preserve"> legal reasoning is beyond question. As shown by the analysis of the </w:t>
      </w:r>
      <w:r>
        <w:rPr>
          <w:rFonts w:ascii="Times New Roman" w:hAnsi="Times New Roman"/>
          <w:sz w:val="24"/>
          <w:szCs w:val="24"/>
          <w:lang w:val="en-GB"/>
        </w:rPr>
        <w:t>Sample of Great Cases of the Court</w:t>
      </w:r>
      <w:r w:rsidRPr="00813E2C">
        <w:rPr>
          <w:rFonts w:ascii="Times New Roman" w:hAnsi="Times New Roman"/>
          <w:sz w:val="24"/>
          <w:szCs w:val="24"/>
          <w:lang w:val="en-GB"/>
        </w:rPr>
        <w:t xml:space="preserve">, the arguments of the Advocates Generals are often upheld and reiterated by the </w:t>
      </w:r>
      <w:r>
        <w:rPr>
          <w:rFonts w:ascii="Times New Roman" w:hAnsi="Times New Roman"/>
          <w:sz w:val="24"/>
          <w:szCs w:val="24"/>
          <w:lang w:val="en-GB"/>
        </w:rPr>
        <w:t>Court</w:t>
      </w:r>
      <w:r w:rsidRPr="00813E2C">
        <w:rPr>
          <w:rFonts w:ascii="Times New Roman" w:hAnsi="Times New Roman"/>
          <w:sz w:val="24"/>
          <w:szCs w:val="24"/>
          <w:lang w:val="en-GB"/>
        </w:rPr>
        <w:t xml:space="preserve"> using formulas such as </w:t>
      </w:r>
      <w:r>
        <w:rPr>
          <w:rFonts w:ascii="Times New Roman" w:hAnsi="Times New Roman"/>
          <w:sz w:val="24"/>
          <w:szCs w:val="24"/>
          <w:lang w:val="en-GB"/>
        </w:rPr>
        <w:t>‘</w:t>
      </w:r>
      <w:r w:rsidRPr="00813E2C">
        <w:rPr>
          <w:rFonts w:ascii="Times New Roman" w:hAnsi="Times New Roman"/>
          <w:sz w:val="24"/>
          <w:szCs w:val="24"/>
          <w:lang w:val="en-GB"/>
        </w:rPr>
        <w:t xml:space="preserve">as the </w:t>
      </w:r>
      <w:r>
        <w:rPr>
          <w:rFonts w:ascii="Times New Roman" w:hAnsi="Times New Roman"/>
          <w:sz w:val="24"/>
          <w:szCs w:val="24"/>
          <w:lang w:val="en-GB"/>
        </w:rPr>
        <w:t>Advocate</w:t>
      </w:r>
      <w:r w:rsidRPr="00813E2C">
        <w:rPr>
          <w:rFonts w:ascii="Times New Roman" w:hAnsi="Times New Roman"/>
          <w:sz w:val="24"/>
          <w:szCs w:val="24"/>
          <w:lang w:val="en-GB"/>
        </w:rPr>
        <w:t xml:space="preserve"> General correctly observed/noted/pointed out at paragraph … of her/his opinion</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20"/>
      </w:r>
      <w:r>
        <w:rPr>
          <w:rFonts w:ascii="Times New Roman" w:hAnsi="Times New Roman"/>
          <w:sz w:val="24"/>
          <w:szCs w:val="24"/>
          <w:lang w:val="en-GB"/>
        </w:rPr>
        <w:t>. M</w:t>
      </w:r>
      <w:r w:rsidRPr="00813E2C">
        <w:rPr>
          <w:rFonts w:ascii="Times New Roman" w:hAnsi="Times New Roman"/>
          <w:sz w:val="24"/>
          <w:szCs w:val="24"/>
          <w:lang w:val="en-GB"/>
        </w:rPr>
        <w:t>ost importantly</w:t>
      </w:r>
      <w:r>
        <w:rPr>
          <w:rFonts w:ascii="Times New Roman" w:hAnsi="Times New Roman"/>
          <w:sz w:val="24"/>
          <w:szCs w:val="24"/>
          <w:lang w:val="en-GB"/>
        </w:rPr>
        <w:t>,</w:t>
      </w:r>
      <w:r w:rsidRPr="00813E2C">
        <w:rPr>
          <w:rFonts w:ascii="Times New Roman" w:hAnsi="Times New Roman"/>
          <w:sz w:val="24"/>
          <w:szCs w:val="24"/>
          <w:lang w:val="en-GB"/>
        </w:rPr>
        <w:t xml:space="preserve"> the opinions are indispensable for understanding what arguments might have influenced the Court without being explicitly endorsed in the final </w:t>
      </w:r>
      <w:r>
        <w:rPr>
          <w:rFonts w:ascii="Times New Roman" w:hAnsi="Times New Roman"/>
          <w:sz w:val="24"/>
          <w:szCs w:val="24"/>
          <w:lang w:val="en-GB"/>
        </w:rPr>
        <w:t>judgme</w:t>
      </w:r>
      <w:r w:rsidRPr="00813E2C">
        <w:rPr>
          <w:rFonts w:ascii="Times New Roman" w:hAnsi="Times New Roman"/>
          <w:sz w:val="24"/>
          <w:szCs w:val="24"/>
          <w:lang w:val="en-GB"/>
        </w:rPr>
        <w:t xml:space="preserve">nt and what arguments have been implicitly rejected. The </w:t>
      </w:r>
      <w:r>
        <w:rPr>
          <w:rFonts w:ascii="Times New Roman" w:hAnsi="Times New Roman"/>
          <w:sz w:val="24"/>
          <w:szCs w:val="24"/>
          <w:lang w:val="en-GB"/>
        </w:rPr>
        <w:t>judgme</w:t>
      </w:r>
      <w:r w:rsidRPr="00813E2C">
        <w:rPr>
          <w:rFonts w:ascii="Times New Roman" w:hAnsi="Times New Roman"/>
          <w:sz w:val="24"/>
          <w:szCs w:val="24"/>
          <w:lang w:val="en-GB"/>
        </w:rPr>
        <w:t xml:space="preserve">nts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should be a self-sufficient text, but if we want to fully grasp their meaning we must make reference to the opinions of the Advocates Generals. The</w:t>
      </w:r>
      <w:r>
        <w:rPr>
          <w:rFonts w:ascii="Times New Roman" w:hAnsi="Times New Roman"/>
          <w:sz w:val="24"/>
          <w:szCs w:val="24"/>
          <w:lang w:val="en-GB"/>
        </w:rPr>
        <w:t xml:space="preserve">ir </w:t>
      </w:r>
      <w:r w:rsidRPr="00813E2C">
        <w:rPr>
          <w:rFonts w:ascii="Times New Roman" w:hAnsi="Times New Roman"/>
          <w:sz w:val="24"/>
          <w:szCs w:val="24"/>
          <w:lang w:val="en-GB"/>
        </w:rPr>
        <w:t>legal reasoning is much more open and candid than th</w:t>
      </w:r>
      <w:r>
        <w:rPr>
          <w:rFonts w:ascii="Times New Roman" w:hAnsi="Times New Roman"/>
          <w:sz w:val="24"/>
          <w:szCs w:val="24"/>
          <w:lang w:val="en-GB"/>
        </w:rPr>
        <w:t xml:space="preserve">at </w:t>
      </w:r>
      <w:r w:rsidRPr="00813E2C">
        <w:rPr>
          <w:rFonts w:ascii="Times New Roman" w:hAnsi="Times New Roman"/>
          <w:sz w:val="24"/>
          <w:szCs w:val="24"/>
          <w:lang w:val="en-GB"/>
        </w:rPr>
        <w:t xml:space="preserve">of the Court and </w:t>
      </w:r>
      <w:r>
        <w:rPr>
          <w:rFonts w:ascii="Times New Roman" w:hAnsi="Times New Roman"/>
          <w:sz w:val="24"/>
          <w:szCs w:val="24"/>
          <w:lang w:val="en-GB"/>
        </w:rPr>
        <w:t xml:space="preserve">it </w:t>
      </w:r>
      <w:r w:rsidRPr="00813E2C">
        <w:rPr>
          <w:rFonts w:ascii="Times New Roman" w:hAnsi="Times New Roman"/>
          <w:sz w:val="24"/>
          <w:szCs w:val="24"/>
          <w:lang w:val="en-GB"/>
        </w:rPr>
        <w:t xml:space="preserve">often takes into account factors such as budgetary and economic considerations, pragmatic concerns, policy issues, arguments based on equity, foreign </w:t>
      </w:r>
      <w:r>
        <w:rPr>
          <w:rFonts w:ascii="Times New Roman" w:hAnsi="Times New Roman"/>
          <w:sz w:val="24"/>
          <w:szCs w:val="24"/>
          <w:lang w:val="en-GB"/>
        </w:rPr>
        <w:t>judgme</w:t>
      </w:r>
      <w:r w:rsidRPr="00813E2C">
        <w:rPr>
          <w:rFonts w:ascii="Times New Roman" w:hAnsi="Times New Roman"/>
          <w:sz w:val="24"/>
          <w:szCs w:val="24"/>
          <w:lang w:val="en-GB"/>
        </w:rPr>
        <w:t xml:space="preserve">nts and doctrinal articles that might exercise a persuasive force upon the </w:t>
      </w:r>
      <w:r w:rsidRPr="003D634E">
        <w:rPr>
          <w:rFonts w:ascii="Times New Roman" w:hAnsi="Times New Roman"/>
          <w:sz w:val="24"/>
          <w:szCs w:val="24"/>
          <w:lang w:val="en-GB"/>
        </w:rPr>
        <w:t>Court</w:t>
      </w:r>
      <w:r w:rsidRPr="00813E2C">
        <w:rPr>
          <w:rFonts w:ascii="Times New Roman" w:hAnsi="Times New Roman"/>
          <w:sz w:val="24"/>
          <w:szCs w:val="24"/>
          <w:lang w:val="en-GB"/>
        </w:rPr>
        <w:t xml:space="preserve">’s deliberations without being explicitly endorsed in the final </w:t>
      </w:r>
      <w:r>
        <w:rPr>
          <w:rFonts w:ascii="Times New Roman" w:hAnsi="Times New Roman"/>
          <w:sz w:val="24"/>
          <w:szCs w:val="24"/>
          <w:lang w:val="en-GB"/>
        </w:rPr>
        <w:t>judgme</w:t>
      </w:r>
      <w:r w:rsidRPr="00813E2C">
        <w:rPr>
          <w:rFonts w:ascii="Times New Roman" w:hAnsi="Times New Roman"/>
          <w:sz w:val="24"/>
          <w:szCs w:val="24"/>
          <w:lang w:val="en-GB"/>
        </w:rPr>
        <w:t xml:space="preserve">nt. </w:t>
      </w:r>
      <w:r>
        <w:rPr>
          <w:rFonts w:ascii="Times New Roman" w:hAnsi="Times New Roman"/>
          <w:sz w:val="24"/>
          <w:szCs w:val="24"/>
          <w:lang w:val="en-GB"/>
        </w:rPr>
        <w:t>W</w:t>
      </w:r>
      <w:r w:rsidRPr="00813E2C">
        <w:rPr>
          <w:rFonts w:ascii="Times New Roman" w:hAnsi="Times New Roman"/>
          <w:sz w:val="24"/>
          <w:szCs w:val="24"/>
          <w:lang w:val="en-GB"/>
        </w:rPr>
        <w:t xml:space="preserve">e </w:t>
      </w:r>
      <w:r w:rsidRPr="00813E2C">
        <w:rPr>
          <w:rFonts w:ascii="Times New Roman" w:hAnsi="Times New Roman"/>
          <w:sz w:val="24"/>
          <w:szCs w:val="24"/>
          <w:lang w:val="en-GB"/>
        </w:rPr>
        <w:lastRenderedPageBreak/>
        <w:t xml:space="preserve">cannot appreciate the specific features of the </w:t>
      </w:r>
      <w:r w:rsidRPr="003D634E">
        <w:rPr>
          <w:rFonts w:ascii="Times New Roman" w:hAnsi="Times New Roman"/>
          <w:sz w:val="24"/>
          <w:szCs w:val="24"/>
          <w:lang w:val="en-GB"/>
        </w:rPr>
        <w:t>Court</w:t>
      </w:r>
      <w:r w:rsidRPr="00813E2C">
        <w:rPr>
          <w:rFonts w:ascii="Times New Roman" w:hAnsi="Times New Roman"/>
          <w:sz w:val="24"/>
          <w:szCs w:val="24"/>
          <w:lang w:val="en-GB"/>
        </w:rPr>
        <w:t xml:space="preserve">’s legal reasoning without taking into consideration </w:t>
      </w:r>
      <w:r>
        <w:rPr>
          <w:rFonts w:ascii="Times New Roman" w:hAnsi="Times New Roman"/>
          <w:sz w:val="24"/>
          <w:szCs w:val="24"/>
          <w:lang w:val="en-GB"/>
        </w:rPr>
        <w:t xml:space="preserve">what </w:t>
      </w:r>
      <w:r w:rsidRPr="00813E2C">
        <w:rPr>
          <w:rFonts w:ascii="Times New Roman" w:hAnsi="Times New Roman"/>
          <w:sz w:val="24"/>
          <w:szCs w:val="24"/>
          <w:lang w:val="en-GB"/>
        </w:rPr>
        <w:t xml:space="preserve">Mitchel Lasser </w:t>
      </w:r>
      <w:r>
        <w:rPr>
          <w:rFonts w:ascii="Times New Roman" w:hAnsi="Times New Roman"/>
          <w:sz w:val="24"/>
          <w:szCs w:val="24"/>
          <w:lang w:val="en-GB"/>
        </w:rPr>
        <w:t xml:space="preserve"> calls </w:t>
      </w:r>
      <w:r w:rsidRPr="00813E2C">
        <w:rPr>
          <w:rFonts w:ascii="Times New Roman" w:hAnsi="Times New Roman"/>
          <w:sz w:val="24"/>
          <w:szCs w:val="24"/>
          <w:lang w:val="en-GB"/>
        </w:rPr>
        <w:t xml:space="preserve">its </w:t>
      </w:r>
      <w:r>
        <w:rPr>
          <w:rFonts w:ascii="Times New Roman" w:hAnsi="Times New Roman"/>
          <w:sz w:val="24"/>
          <w:szCs w:val="24"/>
          <w:lang w:val="en-GB"/>
        </w:rPr>
        <w:t>‘</w:t>
      </w:r>
      <w:r w:rsidRPr="00E26947">
        <w:rPr>
          <w:rFonts w:ascii="Times New Roman" w:hAnsi="Times New Roman"/>
          <w:sz w:val="24"/>
          <w:szCs w:val="24"/>
          <w:lang w:val="en-GB"/>
        </w:rPr>
        <w:t>bifurcated structure’</w:t>
      </w:r>
      <w:r>
        <w:rPr>
          <w:rFonts w:ascii="Times New Roman" w:hAnsi="Times New Roman"/>
          <w:sz w:val="24"/>
          <w:szCs w:val="24"/>
          <w:lang w:val="en-GB"/>
        </w:rPr>
        <w:t>.</w:t>
      </w:r>
      <w:r w:rsidRPr="00E26947">
        <w:rPr>
          <w:rStyle w:val="Rimandonotaapidipagina"/>
          <w:rFonts w:ascii="Times New Roman" w:hAnsi="Times New Roman"/>
          <w:sz w:val="24"/>
          <w:szCs w:val="24"/>
          <w:lang w:val="en-GB"/>
        </w:rPr>
        <w:footnoteReference w:id="21"/>
      </w:r>
    </w:p>
    <w:p w:rsidR="005E6612" w:rsidRDefault="005E6612" w:rsidP="00B27D8E">
      <w:pPr>
        <w:spacing w:line="240" w:lineRule="auto"/>
        <w:jc w:val="both"/>
        <w:rPr>
          <w:rFonts w:ascii="Times New Roman" w:hAnsi="Times New Roman"/>
          <w:smallCaps/>
          <w:sz w:val="24"/>
          <w:szCs w:val="24"/>
          <w:lang w:val="en-GB"/>
        </w:rPr>
      </w:pPr>
      <w:r w:rsidRPr="00813E2C">
        <w:rPr>
          <w:rFonts w:ascii="Times New Roman" w:hAnsi="Times New Roman"/>
          <w:sz w:val="24"/>
          <w:szCs w:val="24"/>
          <w:lang w:val="en-GB"/>
        </w:rPr>
        <w:t xml:space="preserve">B. </w:t>
      </w:r>
      <w:r w:rsidRPr="00813E2C">
        <w:rPr>
          <w:rFonts w:ascii="Times New Roman" w:hAnsi="Times New Roman"/>
          <w:smallCaps/>
          <w:sz w:val="24"/>
          <w:szCs w:val="24"/>
          <w:lang w:val="en-GB"/>
        </w:rPr>
        <w:t>Arguments in Constitutional Reasoning</w:t>
      </w:r>
    </w:p>
    <w:p w:rsidR="005E6612" w:rsidRPr="003D634E" w:rsidRDefault="005E6612" w:rsidP="00B27D8E">
      <w:pPr>
        <w:spacing w:line="240" w:lineRule="auto"/>
        <w:jc w:val="both"/>
        <w:rPr>
          <w:rFonts w:ascii="Times New Roman" w:hAnsi="Times New Roman"/>
          <w:i/>
          <w:iCs/>
          <w:sz w:val="24"/>
          <w:szCs w:val="24"/>
          <w:lang w:val="en-GB"/>
        </w:rPr>
      </w:pPr>
      <w:r w:rsidRPr="00813E2C">
        <w:rPr>
          <w:rFonts w:ascii="Times New Roman" w:hAnsi="Times New Roman"/>
          <w:i/>
          <w:iCs/>
          <w:sz w:val="24"/>
          <w:szCs w:val="24"/>
          <w:lang w:val="en-GB"/>
        </w:rPr>
        <w:t xml:space="preserve">1. </w:t>
      </w:r>
      <w:r>
        <w:rPr>
          <w:rFonts w:ascii="Times New Roman" w:hAnsi="Times New Roman"/>
          <w:i/>
          <w:iCs/>
          <w:sz w:val="24"/>
          <w:szCs w:val="24"/>
          <w:lang w:val="en-GB"/>
        </w:rPr>
        <w:t>‘</w:t>
      </w:r>
      <w:r w:rsidRPr="00813E2C">
        <w:rPr>
          <w:rFonts w:ascii="Times New Roman" w:hAnsi="Times New Roman"/>
          <w:i/>
          <w:iCs/>
          <w:sz w:val="24"/>
          <w:szCs w:val="24"/>
          <w:lang w:val="en-GB"/>
        </w:rPr>
        <w:t>Constitutional Reasoning</w:t>
      </w:r>
      <w:r>
        <w:rPr>
          <w:rFonts w:ascii="Times New Roman" w:hAnsi="Times New Roman"/>
          <w:i/>
          <w:iCs/>
          <w:sz w:val="24"/>
          <w:szCs w:val="24"/>
          <w:lang w:val="en-GB"/>
        </w:rPr>
        <w:t>’</w:t>
      </w:r>
      <w:r w:rsidRPr="00813E2C">
        <w:rPr>
          <w:rFonts w:ascii="Times New Roman" w:hAnsi="Times New Roman"/>
          <w:i/>
          <w:iCs/>
          <w:sz w:val="24"/>
          <w:szCs w:val="24"/>
          <w:lang w:val="en-GB"/>
        </w:rPr>
        <w:t xml:space="preserve"> at the </w:t>
      </w:r>
      <w:r w:rsidRPr="003D634E">
        <w:rPr>
          <w:rFonts w:ascii="Times New Roman" w:hAnsi="Times New Roman"/>
          <w:i/>
          <w:iCs/>
          <w:sz w:val="24"/>
          <w:szCs w:val="24"/>
          <w:lang w:val="en-GB"/>
        </w:rPr>
        <w:t>Court of Justice</w:t>
      </w:r>
    </w:p>
    <w:p w:rsidR="005E6612" w:rsidRPr="00813E2C" w:rsidRDefault="005E6612" w:rsidP="00B27D8E">
      <w:pPr>
        <w:spacing w:line="240" w:lineRule="auto"/>
        <w:jc w:val="both"/>
        <w:rPr>
          <w:rFonts w:ascii="Times New Roman" w:hAnsi="Times New Roman"/>
          <w:iCs/>
          <w:sz w:val="24"/>
          <w:szCs w:val="24"/>
          <w:lang w:val="en-GB"/>
        </w:rPr>
      </w:pPr>
      <w:r w:rsidRPr="00813E2C">
        <w:rPr>
          <w:rFonts w:ascii="Times New Roman" w:hAnsi="Times New Roman"/>
          <w:sz w:val="24"/>
          <w:szCs w:val="24"/>
          <w:lang w:val="en-GB"/>
        </w:rPr>
        <w:t>For the reasons outlined abo</w:t>
      </w:r>
      <w:r>
        <w:rPr>
          <w:rFonts w:ascii="Times New Roman" w:hAnsi="Times New Roman"/>
          <w:sz w:val="24"/>
          <w:szCs w:val="24"/>
          <w:lang w:val="en-GB"/>
        </w:rPr>
        <w:t>ve</w:t>
      </w:r>
      <w:r w:rsidRPr="00813E2C">
        <w:rPr>
          <w:rFonts w:ascii="Times New Roman" w:hAnsi="Times New Roman"/>
          <w:sz w:val="24"/>
          <w:szCs w:val="24"/>
          <w:lang w:val="en-GB"/>
        </w:rPr>
        <w:t xml:space="preserve">, there are two possible ways in which the expression </w:t>
      </w:r>
      <w:r>
        <w:rPr>
          <w:rFonts w:ascii="Times New Roman" w:hAnsi="Times New Roman"/>
          <w:sz w:val="24"/>
          <w:szCs w:val="24"/>
          <w:lang w:val="en-GB"/>
        </w:rPr>
        <w:t>‘</w:t>
      </w:r>
      <w:r w:rsidRPr="00813E2C">
        <w:rPr>
          <w:rFonts w:ascii="Times New Roman" w:hAnsi="Times New Roman"/>
          <w:sz w:val="24"/>
          <w:szCs w:val="24"/>
          <w:lang w:val="en-GB"/>
        </w:rPr>
        <w:t>constitutional reasoning</w:t>
      </w:r>
      <w:r>
        <w:rPr>
          <w:rFonts w:ascii="Times New Roman" w:hAnsi="Times New Roman"/>
          <w:sz w:val="24"/>
          <w:szCs w:val="24"/>
          <w:lang w:val="en-GB"/>
        </w:rPr>
        <w:t>’</w:t>
      </w:r>
      <w:r w:rsidRPr="00813E2C">
        <w:rPr>
          <w:rFonts w:ascii="Times New Roman" w:hAnsi="Times New Roman"/>
          <w:sz w:val="24"/>
          <w:szCs w:val="24"/>
          <w:lang w:val="en-GB"/>
        </w:rPr>
        <w:t xml:space="preserve"> can be understood. First,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engages in constitutional reasoning </w:t>
      </w:r>
      <w:r w:rsidRPr="00813E2C">
        <w:rPr>
          <w:rFonts w:ascii="Times New Roman" w:hAnsi="Times New Roman"/>
          <w:iCs/>
          <w:sz w:val="24"/>
          <w:szCs w:val="24"/>
          <w:lang w:val="en-GB"/>
        </w:rPr>
        <w:t xml:space="preserve">when it interprets the Treaties in order to rule on the validity of EU secondary legislation. </w:t>
      </w:r>
      <w:r w:rsidRPr="00813E2C">
        <w:rPr>
          <w:rFonts w:ascii="Times New Roman" w:hAnsi="Times New Roman"/>
          <w:sz w:val="24"/>
          <w:szCs w:val="24"/>
          <w:lang w:val="en-GB"/>
        </w:rPr>
        <w:t xml:space="preserve">In annulment proceedings and in preliminary proceedings on the validity of EU law,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is </w:t>
      </w:r>
      <w:r>
        <w:rPr>
          <w:rFonts w:ascii="Times New Roman" w:hAnsi="Times New Roman"/>
          <w:sz w:val="24"/>
          <w:szCs w:val="24"/>
          <w:lang w:val="en-GB"/>
        </w:rPr>
        <w:t xml:space="preserve">the </w:t>
      </w:r>
      <w:r w:rsidRPr="00813E2C">
        <w:rPr>
          <w:rFonts w:ascii="Times New Roman" w:hAnsi="Times New Roman"/>
          <w:i/>
          <w:sz w:val="24"/>
          <w:szCs w:val="24"/>
          <w:lang w:val="en-GB"/>
        </w:rPr>
        <w:t>sensu stricto</w:t>
      </w:r>
      <w:r w:rsidRPr="00813E2C">
        <w:rPr>
          <w:rFonts w:ascii="Times New Roman" w:hAnsi="Times New Roman"/>
          <w:sz w:val="24"/>
          <w:szCs w:val="24"/>
          <w:lang w:val="en-GB"/>
        </w:rPr>
        <w:t xml:space="preserve"> constitutional court</w:t>
      </w:r>
      <w:r>
        <w:rPr>
          <w:rFonts w:ascii="Times New Roman" w:hAnsi="Times New Roman"/>
          <w:sz w:val="24"/>
          <w:szCs w:val="24"/>
          <w:lang w:val="en-GB"/>
        </w:rPr>
        <w:t xml:space="preserve"> of the EU</w:t>
      </w:r>
      <w:r w:rsidRPr="00813E2C">
        <w:rPr>
          <w:rFonts w:ascii="Times New Roman" w:hAnsi="Times New Roman"/>
          <w:sz w:val="24"/>
          <w:szCs w:val="24"/>
          <w:lang w:val="en-GB"/>
        </w:rPr>
        <w:t xml:space="preserve">, at least according to the definition of </w:t>
      </w:r>
      <w:r>
        <w:rPr>
          <w:rFonts w:ascii="Times New Roman" w:hAnsi="Times New Roman"/>
          <w:sz w:val="24"/>
          <w:szCs w:val="24"/>
          <w:lang w:val="en-GB"/>
        </w:rPr>
        <w:t>‘</w:t>
      </w:r>
      <w:r w:rsidRPr="00813E2C">
        <w:rPr>
          <w:rFonts w:ascii="Times New Roman" w:hAnsi="Times New Roman"/>
          <w:sz w:val="24"/>
          <w:szCs w:val="24"/>
          <w:lang w:val="en-GB"/>
        </w:rPr>
        <w:t>constitution</w:t>
      </w:r>
      <w:r>
        <w:rPr>
          <w:rFonts w:ascii="Times New Roman" w:hAnsi="Times New Roman"/>
          <w:sz w:val="24"/>
          <w:szCs w:val="24"/>
          <w:lang w:val="en-GB"/>
        </w:rPr>
        <w:t>’</w:t>
      </w:r>
      <w:r w:rsidRPr="00813E2C">
        <w:rPr>
          <w:rFonts w:ascii="Times New Roman" w:hAnsi="Times New Roman"/>
          <w:sz w:val="24"/>
          <w:szCs w:val="24"/>
          <w:lang w:val="en-GB"/>
        </w:rPr>
        <w:t xml:space="preserve"> </w:t>
      </w:r>
      <w:r>
        <w:rPr>
          <w:rFonts w:ascii="Times New Roman" w:hAnsi="Times New Roman"/>
          <w:sz w:val="24"/>
          <w:szCs w:val="24"/>
          <w:lang w:val="en-GB"/>
        </w:rPr>
        <w:t xml:space="preserve">here </w:t>
      </w:r>
      <w:r w:rsidRPr="00813E2C">
        <w:rPr>
          <w:rFonts w:ascii="Times New Roman" w:hAnsi="Times New Roman"/>
          <w:sz w:val="24"/>
          <w:szCs w:val="24"/>
          <w:lang w:val="en-GB"/>
        </w:rPr>
        <w:t xml:space="preserve">adopted, and the Treaties are, as the same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solemnly declared, the </w:t>
      </w:r>
      <w:r>
        <w:rPr>
          <w:rFonts w:ascii="Times New Roman" w:hAnsi="Times New Roman"/>
          <w:sz w:val="24"/>
          <w:szCs w:val="24"/>
          <w:lang w:val="en-GB"/>
        </w:rPr>
        <w:t>‘</w:t>
      </w:r>
      <w:r w:rsidRPr="00813E2C">
        <w:rPr>
          <w:rFonts w:ascii="Times New Roman" w:hAnsi="Times New Roman"/>
          <w:iCs/>
          <w:sz w:val="24"/>
          <w:szCs w:val="24"/>
          <w:lang w:val="en-GB"/>
        </w:rPr>
        <w:t>basic constitutional charter of a Community based on the rule of law</w:t>
      </w:r>
      <w:r>
        <w:rPr>
          <w:rFonts w:ascii="Times New Roman" w:hAnsi="Times New Roman"/>
          <w:iCs/>
          <w:sz w:val="24"/>
          <w:szCs w:val="24"/>
          <w:lang w:val="en-GB"/>
        </w:rPr>
        <w:t>’.</w:t>
      </w:r>
      <w:r w:rsidRPr="00813E2C">
        <w:rPr>
          <w:rStyle w:val="Rimandonotaapidipagina"/>
          <w:rFonts w:ascii="Times New Roman" w:hAnsi="Times New Roman"/>
          <w:iCs/>
          <w:sz w:val="24"/>
          <w:szCs w:val="24"/>
          <w:lang w:val="en-GB"/>
        </w:rPr>
        <w:footnoteReference w:id="22"/>
      </w:r>
      <w:r w:rsidRPr="00813E2C">
        <w:rPr>
          <w:rFonts w:ascii="Times New Roman" w:hAnsi="Times New Roman"/>
          <w:iCs/>
          <w:sz w:val="24"/>
          <w:szCs w:val="24"/>
          <w:lang w:val="en-GB"/>
        </w:rPr>
        <w:t xml:space="preserve"> In that context, the expression </w:t>
      </w:r>
      <w:r>
        <w:rPr>
          <w:rFonts w:ascii="Times New Roman" w:hAnsi="Times New Roman"/>
          <w:iCs/>
          <w:sz w:val="24"/>
          <w:szCs w:val="24"/>
          <w:lang w:val="en-GB"/>
        </w:rPr>
        <w:t>‘</w:t>
      </w:r>
      <w:r w:rsidRPr="00813E2C">
        <w:rPr>
          <w:rFonts w:ascii="Times New Roman" w:hAnsi="Times New Roman"/>
          <w:iCs/>
          <w:sz w:val="24"/>
          <w:szCs w:val="24"/>
          <w:lang w:val="en-GB"/>
        </w:rPr>
        <w:t>constitutional reasoning</w:t>
      </w:r>
      <w:r>
        <w:rPr>
          <w:rFonts w:ascii="Times New Roman" w:hAnsi="Times New Roman"/>
          <w:iCs/>
          <w:sz w:val="24"/>
          <w:szCs w:val="24"/>
          <w:lang w:val="en-GB"/>
        </w:rPr>
        <w:t>’</w:t>
      </w:r>
      <w:r w:rsidRPr="00813E2C">
        <w:rPr>
          <w:rFonts w:ascii="Times New Roman" w:hAnsi="Times New Roman"/>
          <w:iCs/>
          <w:sz w:val="24"/>
          <w:szCs w:val="24"/>
          <w:lang w:val="en-GB"/>
        </w:rPr>
        <w:t xml:space="preserve"> could refer exclusively to the reasoning that is based on the text of the Treaties or that is intended to expound and develop </w:t>
      </w:r>
      <w:r>
        <w:rPr>
          <w:rFonts w:ascii="Times New Roman" w:hAnsi="Times New Roman"/>
          <w:iCs/>
          <w:sz w:val="24"/>
          <w:szCs w:val="24"/>
          <w:lang w:val="en-GB"/>
        </w:rPr>
        <w:t>its</w:t>
      </w:r>
      <w:r w:rsidRPr="00813E2C">
        <w:rPr>
          <w:rFonts w:ascii="Times New Roman" w:hAnsi="Times New Roman"/>
          <w:iCs/>
          <w:sz w:val="24"/>
          <w:szCs w:val="24"/>
          <w:lang w:val="en-GB"/>
        </w:rPr>
        <w:t xml:space="preserve"> meaning.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iCs/>
          <w:sz w:val="24"/>
          <w:szCs w:val="24"/>
          <w:lang w:val="en-GB"/>
        </w:rPr>
        <w:t xml:space="preserve">Secondly,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xml:space="preserve"> engages in </w:t>
      </w:r>
      <w:r w:rsidRPr="00813E2C">
        <w:rPr>
          <w:rFonts w:ascii="Times New Roman" w:hAnsi="Times New Roman"/>
          <w:i/>
          <w:sz w:val="24"/>
          <w:szCs w:val="24"/>
          <w:lang w:val="en-GB"/>
        </w:rPr>
        <w:t xml:space="preserve">sensu lato </w:t>
      </w:r>
      <w:r w:rsidRPr="00813E2C">
        <w:rPr>
          <w:rFonts w:ascii="Times New Roman" w:hAnsi="Times New Roman"/>
          <w:iCs/>
          <w:sz w:val="24"/>
          <w:szCs w:val="24"/>
          <w:lang w:val="en-GB"/>
        </w:rPr>
        <w:t xml:space="preserve">constitutional reasoning when it </w:t>
      </w:r>
      <w:r w:rsidRPr="00813E2C">
        <w:rPr>
          <w:rFonts w:ascii="Times New Roman" w:hAnsi="Times New Roman"/>
          <w:sz w:val="24"/>
          <w:szCs w:val="24"/>
          <w:lang w:val="en-GB"/>
        </w:rPr>
        <w:t xml:space="preserve">evaluates the </w:t>
      </w:r>
      <w:r>
        <w:rPr>
          <w:rFonts w:ascii="Times New Roman" w:hAnsi="Times New Roman"/>
          <w:sz w:val="24"/>
          <w:szCs w:val="24"/>
          <w:lang w:val="en-GB"/>
        </w:rPr>
        <w:t>‘</w:t>
      </w:r>
      <w:r w:rsidRPr="00813E2C">
        <w:rPr>
          <w:rFonts w:ascii="Times New Roman" w:hAnsi="Times New Roman"/>
          <w:sz w:val="24"/>
          <w:szCs w:val="24"/>
          <w:lang w:val="en-GB"/>
        </w:rPr>
        <w:t>European validity</w:t>
      </w:r>
      <w:r>
        <w:rPr>
          <w:rFonts w:ascii="Times New Roman" w:hAnsi="Times New Roman"/>
          <w:sz w:val="24"/>
          <w:szCs w:val="24"/>
          <w:lang w:val="en-GB"/>
        </w:rPr>
        <w:t>’</w:t>
      </w:r>
      <w:r w:rsidRPr="00813E2C">
        <w:rPr>
          <w:rFonts w:ascii="Times New Roman" w:hAnsi="Times New Roman"/>
          <w:sz w:val="24"/>
          <w:szCs w:val="24"/>
          <w:lang w:val="en-GB"/>
        </w:rPr>
        <w:t xml:space="preserve"> of national legislation and practises in preliminary ruling proceedings on the interpretation of EU law. Here the object of interpretation is not limited to the Treaties but comprises the whole body of EU law. As already mentioned, this kind of constitutional jurisdiction</w:t>
      </w:r>
      <w:r>
        <w:rPr>
          <w:rFonts w:ascii="Times New Roman" w:hAnsi="Times New Roman"/>
          <w:sz w:val="24"/>
          <w:szCs w:val="24"/>
          <w:lang w:val="en-GB"/>
        </w:rPr>
        <w:t xml:space="preserve"> of the Court is not exclusive, nor supreme, nor direct </w:t>
      </w:r>
      <w:r w:rsidRPr="00813E2C">
        <w:rPr>
          <w:rFonts w:ascii="Times New Roman" w:hAnsi="Times New Roman"/>
          <w:iCs/>
          <w:sz w:val="24"/>
          <w:szCs w:val="24"/>
          <w:lang w:val="en-GB"/>
        </w:rPr>
        <w:t>–</w:t>
      </w:r>
      <w:r>
        <w:rPr>
          <w:rFonts w:ascii="Times New Roman" w:hAnsi="Times New Roman"/>
          <w:sz w:val="24"/>
          <w:szCs w:val="24"/>
          <w:lang w:val="en-GB"/>
        </w:rPr>
        <w:t xml:space="preserve"> </w:t>
      </w:r>
      <w:r w:rsidRPr="00813E2C">
        <w:rPr>
          <w:rFonts w:ascii="Times New Roman" w:hAnsi="Times New Roman"/>
          <w:sz w:val="24"/>
          <w:szCs w:val="24"/>
          <w:lang w:val="en-GB"/>
        </w:rPr>
        <w:t xml:space="preserve">the intervention of national courts is necessary for removing the conflict between national law and EU law.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The indirect nature of the </w:t>
      </w:r>
      <w:r>
        <w:rPr>
          <w:rFonts w:ascii="Times New Roman" w:hAnsi="Times New Roman"/>
          <w:sz w:val="24"/>
          <w:szCs w:val="24"/>
          <w:lang w:val="en-GB"/>
        </w:rPr>
        <w:t xml:space="preserve">review exercised by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has one significant consequence for our research. In almost every preliminary ruling </w:t>
      </w:r>
      <w:r>
        <w:rPr>
          <w:rFonts w:ascii="Times New Roman" w:hAnsi="Times New Roman"/>
          <w:sz w:val="24"/>
          <w:szCs w:val="24"/>
          <w:lang w:val="en-GB"/>
        </w:rPr>
        <w:t>of</w:t>
      </w:r>
      <w:r w:rsidRPr="00813E2C">
        <w:rPr>
          <w:rFonts w:ascii="Times New Roman" w:hAnsi="Times New Roman"/>
          <w:sz w:val="24"/>
          <w:szCs w:val="24"/>
          <w:lang w:val="en-GB"/>
        </w:rPr>
        <w:t xml:space="preserve"> </w:t>
      </w:r>
      <w:r>
        <w:rPr>
          <w:rFonts w:ascii="Times New Roman" w:hAnsi="Times New Roman"/>
          <w:sz w:val="24"/>
          <w:szCs w:val="24"/>
          <w:lang w:val="en-GB"/>
        </w:rPr>
        <w:t xml:space="preserve">the </w:t>
      </w:r>
      <w:r w:rsidRPr="00813E2C">
        <w:rPr>
          <w:rFonts w:ascii="Times New Roman" w:hAnsi="Times New Roman"/>
          <w:sz w:val="24"/>
          <w:szCs w:val="24"/>
          <w:lang w:val="en-GB"/>
        </w:rPr>
        <w:t xml:space="preserve">Court, it can be dubious whether </w:t>
      </w:r>
      <w:r>
        <w:rPr>
          <w:rFonts w:ascii="Times New Roman" w:hAnsi="Times New Roman"/>
          <w:sz w:val="24"/>
          <w:szCs w:val="24"/>
          <w:lang w:val="en-GB"/>
        </w:rPr>
        <w:t xml:space="preserve">it </w:t>
      </w:r>
      <w:r w:rsidRPr="00813E2C">
        <w:rPr>
          <w:rFonts w:ascii="Times New Roman" w:hAnsi="Times New Roman"/>
          <w:sz w:val="24"/>
          <w:szCs w:val="24"/>
          <w:lang w:val="en-GB"/>
        </w:rPr>
        <w:t xml:space="preserve">is exercising its </w:t>
      </w:r>
      <w:r w:rsidRPr="00813E2C">
        <w:rPr>
          <w:rFonts w:ascii="Times New Roman" w:hAnsi="Times New Roman"/>
          <w:i/>
          <w:sz w:val="24"/>
          <w:szCs w:val="24"/>
          <w:lang w:val="en-GB"/>
        </w:rPr>
        <w:t xml:space="preserve">sensu lato </w:t>
      </w:r>
      <w:r w:rsidRPr="00813E2C">
        <w:rPr>
          <w:rFonts w:ascii="Times New Roman" w:hAnsi="Times New Roman"/>
          <w:sz w:val="24"/>
          <w:szCs w:val="24"/>
          <w:lang w:val="en-GB"/>
        </w:rPr>
        <w:t xml:space="preserve">constitutional jurisdiction by indirectly controlling the compliance of Member States with EU law, or is simply doing what it says it is doing, that is, interpreting EU law in order to answer the questions referred by the national court. </w:t>
      </w:r>
      <w:r>
        <w:rPr>
          <w:rFonts w:ascii="Times New Roman" w:hAnsi="Times New Roman"/>
          <w:sz w:val="24"/>
          <w:szCs w:val="24"/>
          <w:lang w:val="en-GB"/>
        </w:rPr>
        <w:t>Thus, f</w:t>
      </w:r>
      <w:r w:rsidRPr="00813E2C">
        <w:rPr>
          <w:rFonts w:ascii="Times New Roman" w:hAnsi="Times New Roman"/>
          <w:sz w:val="24"/>
          <w:szCs w:val="24"/>
          <w:lang w:val="en-GB"/>
        </w:rPr>
        <w:t xml:space="preserve">or the purposes of this study the </w:t>
      </w:r>
      <w:r w:rsidRPr="00813E2C">
        <w:rPr>
          <w:rFonts w:ascii="Times New Roman" w:hAnsi="Times New Roman"/>
          <w:i/>
          <w:sz w:val="24"/>
          <w:szCs w:val="24"/>
          <w:lang w:val="en-GB"/>
        </w:rPr>
        <w:t xml:space="preserve">sensu lato </w:t>
      </w:r>
      <w:r w:rsidRPr="00813E2C">
        <w:rPr>
          <w:rFonts w:ascii="Times New Roman" w:hAnsi="Times New Roman"/>
          <w:iCs/>
          <w:sz w:val="24"/>
          <w:szCs w:val="24"/>
          <w:lang w:val="en-GB"/>
        </w:rPr>
        <w:t xml:space="preserve">concept of </w:t>
      </w:r>
      <w:r w:rsidRPr="00813E2C">
        <w:rPr>
          <w:rFonts w:ascii="Times New Roman" w:hAnsi="Times New Roman"/>
          <w:sz w:val="24"/>
          <w:szCs w:val="24"/>
          <w:lang w:val="en-GB"/>
        </w:rPr>
        <w:t xml:space="preserve">constitutional reasoning is definitely too broad, as for every case analysed by the research the </w:t>
      </w:r>
      <w:r>
        <w:rPr>
          <w:rFonts w:ascii="Times New Roman" w:hAnsi="Times New Roman"/>
          <w:sz w:val="24"/>
          <w:szCs w:val="24"/>
          <w:lang w:val="en-GB"/>
        </w:rPr>
        <w:t>difficult question would be open, ‘I</w:t>
      </w:r>
      <w:r w:rsidRPr="00813E2C">
        <w:rPr>
          <w:rFonts w:ascii="Times New Roman" w:hAnsi="Times New Roman"/>
          <w:sz w:val="24"/>
          <w:szCs w:val="24"/>
          <w:lang w:val="en-GB"/>
        </w:rPr>
        <w:t xml:space="preserve">s this really </w:t>
      </w:r>
      <w:r>
        <w:rPr>
          <w:rFonts w:ascii="Times New Roman" w:hAnsi="Times New Roman"/>
          <w:sz w:val="24"/>
          <w:szCs w:val="24"/>
          <w:lang w:val="en-GB"/>
        </w:rPr>
        <w:t xml:space="preserve">a case of </w:t>
      </w:r>
      <w:r w:rsidRPr="00813E2C">
        <w:rPr>
          <w:rFonts w:ascii="Times New Roman" w:hAnsi="Times New Roman"/>
          <w:sz w:val="24"/>
          <w:szCs w:val="24"/>
          <w:lang w:val="en-GB"/>
        </w:rPr>
        <w:t xml:space="preserve">constitutional reasoning or is </w:t>
      </w:r>
      <w:r>
        <w:rPr>
          <w:rFonts w:ascii="Times New Roman" w:hAnsi="Times New Roman"/>
          <w:sz w:val="24"/>
          <w:szCs w:val="24"/>
          <w:lang w:val="en-GB"/>
        </w:rPr>
        <w:t xml:space="preserve">it </w:t>
      </w:r>
      <w:r w:rsidRPr="00813E2C">
        <w:rPr>
          <w:rFonts w:ascii="Times New Roman" w:hAnsi="Times New Roman"/>
          <w:sz w:val="24"/>
          <w:szCs w:val="24"/>
          <w:lang w:val="en-GB"/>
        </w:rPr>
        <w:t xml:space="preserve">just ordinary interpretation of </w:t>
      </w:r>
      <w:r>
        <w:rPr>
          <w:rFonts w:ascii="Times New Roman" w:hAnsi="Times New Roman"/>
          <w:sz w:val="24"/>
          <w:szCs w:val="24"/>
          <w:lang w:val="en-GB"/>
        </w:rPr>
        <w:t xml:space="preserve">the </w:t>
      </w:r>
      <w:r w:rsidRPr="00813E2C">
        <w:rPr>
          <w:rFonts w:ascii="Times New Roman" w:hAnsi="Times New Roman"/>
          <w:sz w:val="24"/>
          <w:szCs w:val="24"/>
          <w:lang w:val="en-GB"/>
        </w:rPr>
        <w:t>EU legislation?</w:t>
      </w:r>
      <w:r>
        <w:rPr>
          <w:rFonts w:ascii="Times New Roman" w:hAnsi="Times New Roman"/>
          <w:sz w:val="24"/>
          <w:szCs w:val="24"/>
          <w:lang w:val="en-GB"/>
        </w:rPr>
        <w:t>’. T</w:t>
      </w:r>
      <w:r w:rsidRPr="00813E2C">
        <w:rPr>
          <w:rFonts w:ascii="Times New Roman" w:hAnsi="Times New Roman"/>
          <w:sz w:val="24"/>
          <w:szCs w:val="24"/>
          <w:lang w:val="en-GB"/>
        </w:rPr>
        <w:t>he answers to that question cannot be</w:t>
      </w:r>
      <w:r>
        <w:rPr>
          <w:rFonts w:ascii="Times New Roman" w:hAnsi="Times New Roman"/>
          <w:sz w:val="24"/>
          <w:szCs w:val="24"/>
          <w:lang w:val="en-GB"/>
        </w:rPr>
        <w:t xml:space="preserve"> anything but</w:t>
      </w:r>
      <w:r w:rsidRPr="00813E2C">
        <w:rPr>
          <w:rFonts w:ascii="Times New Roman" w:hAnsi="Times New Roman"/>
          <w:sz w:val="24"/>
          <w:szCs w:val="24"/>
          <w:lang w:val="en-GB"/>
        </w:rPr>
        <w:t xml:space="preserve"> speculative and controversial.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Therefore, </w:t>
      </w:r>
      <w:r>
        <w:rPr>
          <w:rFonts w:ascii="Times New Roman" w:hAnsi="Times New Roman"/>
          <w:sz w:val="24"/>
          <w:szCs w:val="24"/>
          <w:lang w:val="en-GB"/>
        </w:rPr>
        <w:t xml:space="preserve">this study </w:t>
      </w:r>
      <w:r w:rsidRPr="00813E2C">
        <w:rPr>
          <w:rFonts w:ascii="Times New Roman" w:hAnsi="Times New Roman"/>
          <w:sz w:val="24"/>
          <w:szCs w:val="24"/>
          <w:lang w:val="en-GB"/>
        </w:rPr>
        <w:t xml:space="preserve">did not take into consideration the arguments adopted by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for interpreting EU secondary legislation </w:t>
      </w:r>
      <w:r>
        <w:rPr>
          <w:rFonts w:ascii="Times New Roman" w:hAnsi="Times New Roman"/>
          <w:sz w:val="24"/>
          <w:szCs w:val="24"/>
          <w:lang w:val="en-GB"/>
        </w:rPr>
        <w:t>and</w:t>
      </w:r>
      <w:r w:rsidRPr="00813E2C">
        <w:rPr>
          <w:rFonts w:ascii="Times New Roman" w:hAnsi="Times New Roman"/>
          <w:sz w:val="24"/>
          <w:szCs w:val="24"/>
          <w:lang w:val="en-GB"/>
        </w:rPr>
        <w:t xml:space="preserve"> analysed only the arguments adopted by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for interpreting the Treaties: what can be called </w:t>
      </w:r>
      <w:r w:rsidRPr="00813E2C">
        <w:rPr>
          <w:rFonts w:ascii="Times New Roman" w:hAnsi="Times New Roman"/>
          <w:i/>
          <w:sz w:val="24"/>
          <w:szCs w:val="24"/>
          <w:lang w:val="en-GB"/>
        </w:rPr>
        <w:t xml:space="preserve">sensu stricto </w:t>
      </w:r>
      <w:r w:rsidRPr="00813E2C">
        <w:rPr>
          <w:rFonts w:ascii="Times New Roman" w:hAnsi="Times New Roman"/>
          <w:sz w:val="24"/>
          <w:szCs w:val="24"/>
          <w:lang w:val="en-GB"/>
        </w:rPr>
        <w:t>constitutional reasoning, although it is a kind of reasoning that can be employed not only in case of action for annulment and preliminary questions on the validity of EU law but also in every other kind of judicial proceeding before the Court.</w:t>
      </w:r>
      <w:r>
        <w:rPr>
          <w:rStyle w:val="Rimandonotaapidipagina"/>
          <w:rFonts w:ascii="Times New Roman" w:hAnsi="Times New Roman"/>
          <w:sz w:val="24"/>
          <w:szCs w:val="24"/>
          <w:lang w:val="en-GB"/>
        </w:rPr>
        <w:footnoteReference w:id="23"/>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i/>
          <w:iCs/>
          <w:sz w:val="24"/>
          <w:szCs w:val="24"/>
          <w:lang w:val="en-GB"/>
        </w:rPr>
      </w:pPr>
      <w:r w:rsidRPr="00813E2C">
        <w:rPr>
          <w:rFonts w:ascii="Times New Roman" w:hAnsi="Times New Roman"/>
          <w:sz w:val="24"/>
          <w:szCs w:val="24"/>
          <w:lang w:val="en-GB"/>
        </w:rPr>
        <w:lastRenderedPageBreak/>
        <w:t xml:space="preserve">2. </w:t>
      </w:r>
      <w:r w:rsidRPr="00813E2C">
        <w:rPr>
          <w:rFonts w:ascii="Times New Roman" w:hAnsi="Times New Roman"/>
          <w:i/>
          <w:iCs/>
          <w:sz w:val="24"/>
          <w:szCs w:val="24"/>
          <w:lang w:val="en-GB"/>
        </w:rPr>
        <w:t>The structure of constitutional arguments</w:t>
      </w:r>
    </w:p>
    <w:p w:rsidR="005E6612" w:rsidRDefault="005E6612" w:rsidP="004E3AC0">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We found that the majority of the </w:t>
      </w:r>
      <w:r>
        <w:rPr>
          <w:rFonts w:ascii="Times New Roman" w:hAnsi="Times New Roman"/>
          <w:sz w:val="24"/>
          <w:szCs w:val="24"/>
          <w:lang w:val="en-GB"/>
        </w:rPr>
        <w:t>judgme</w:t>
      </w:r>
      <w:r w:rsidRPr="00813E2C">
        <w:rPr>
          <w:rFonts w:ascii="Times New Roman" w:hAnsi="Times New Roman"/>
          <w:sz w:val="24"/>
          <w:szCs w:val="24"/>
          <w:lang w:val="en-GB"/>
        </w:rPr>
        <w:t>nts (16) ha</w:t>
      </w:r>
      <w:r>
        <w:rPr>
          <w:rFonts w:ascii="Times New Roman" w:hAnsi="Times New Roman"/>
          <w:sz w:val="24"/>
          <w:szCs w:val="24"/>
          <w:lang w:val="en-GB"/>
        </w:rPr>
        <w:t xml:space="preserve">ve a </w:t>
      </w:r>
      <w:r w:rsidRPr="00DD145C">
        <w:rPr>
          <w:rFonts w:ascii="Times New Roman" w:hAnsi="Times New Roman"/>
          <w:sz w:val="24"/>
          <w:szCs w:val="24"/>
          <w:lang w:val="en-GB"/>
        </w:rPr>
        <w:t>cumulative parallel structure,</w:t>
      </w:r>
      <w:r w:rsidRPr="00DD145C">
        <w:rPr>
          <w:rFonts w:ascii="Times New Roman" w:hAnsi="Times New Roman"/>
          <w:b/>
          <w:sz w:val="24"/>
          <w:szCs w:val="24"/>
          <w:lang w:val="en-GB"/>
        </w:rPr>
        <w:t xml:space="preserve"> </w:t>
      </w:r>
      <w:r w:rsidRPr="00DD145C">
        <w:rPr>
          <w:rFonts w:ascii="Times New Roman" w:hAnsi="Times New Roman"/>
          <w:sz w:val="24"/>
          <w:szCs w:val="24"/>
          <w:lang w:val="en-GB"/>
        </w:rPr>
        <w:t>in which distinct, autonomous considerations lead to the same conclusion</w:t>
      </w:r>
      <w:r>
        <w:rPr>
          <w:rFonts w:ascii="Times New Roman" w:hAnsi="Times New Roman"/>
          <w:sz w:val="24"/>
          <w:szCs w:val="24"/>
          <w:lang w:val="en-GB"/>
        </w:rPr>
        <w:t xml:space="preserve">; </w:t>
      </w:r>
      <w:r w:rsidRPr="00813E2C">
        <w:rPr>
          <w:rFonts w:ascii="Times New Roman" w:hAnsi="Times New Roman"/>
          <w:sz w:val="24"/>
          <w:szCs w:val="24"/>
          <w:lang w:val="en-GB"/>
        </w:rPr>
        <w:t xml:space="preserve">a robust minority (14) </w:t>
      </w:r>
      <w:r>
        <w:rPr>
          <w:rFonts w:ascii="Times New Roman" w:hAnsi="Times New Roman"/>
          <w:sz w:val="24"/>
          <w:szCs w:val="24"/>
          <w:lang w:val="en-GB"/>
        </w:rPr>
        <w:t xml:space="preserve">exhibits </w:t>
      </w:r>
      <w:r w:rsidRPr="004E3AC0">
        <w:rPr>
          <w:rFonts w:ascii="Times New Roman" w:hAnsi="Times New Roman"/>
          <w:sz w:val="24"/>
          <w:szCs w:val="24"/>
          <w:lang w:val="en-GB"/>
        </w:rPr>
        <w:t>one-line conclusive arguments</w:t>
      </w:r>
      <w:r>
        <w:rPr>
          <w:rFonts w:ascii="Times New Roman" w:hAnsi="Times New Roman"/>
          <w:sz w:val="24"/>
          <w:szCs w:val="24"/>
          <w:lang w:val="en-GB"/>
        </w:rPr>
        <w:t xml:space="preserve"> </w:t>
      </w:r>
      <w:r w:rsidRPr="00813E2C">
        <w:rPr>
          <w:rFonts w:ascii="Times New Roman" w:hAnsi="Times New Roman"/>
          <w:sz w:val="24"/>
          <w:szCs w:val="24"/>
          <w:lang w:val="en-GB"/>
        </w:rPr>
        <w:t>–</w:t>
      </w:r>
      <w:r>
        <w:rPr>
          <w:rFonts w:ascii="Times New Roman" w:hAnsi="Times New Roman"/>
          <w:sz w:val="24"/>
          <w:szCs w:val="24"/>
          <w:lang w:val="en-GB"/>
        </w:rPr>
        <w:t xml:space="preserve"> </w:t>
      </w:r>
      <w:r w:rsidRPr="00DD145C">
        <w:rPr>
          <w:rFonts w:ascii="Times New Roman" w:hAnsi="Times New Roman"/>
          <w:sz w:val="24"/>
          <w:szCs w:val="24"/>
          <w:lang w:val="en-GB"/>
        </w:rPr>
        <w:t>a self-standing structure,</w:t>
      </w:r>
      <w:r w:rsidRPr="00DD145C">
        <w:rPr>
          <w:rFonts w:ascii="Times New Roman" w:hAnsi="Times New Roman"/>
          <w:b/>
          <w:sz w:val="24"/>
          <w:szCs w:val="24"/>
          <w:lang w:val="en-GB"/>
        </w:rPr>
        <w:t xml:space="preserve"> </w:t>
      </w:r>
      <w:r w:rsidRPr="00DD145C">
        <w:rPr>
          <w:rFonts w:ascii="Times New Roman" w:hAnsi="Times New Roman"/>
          <w:sz w:val="24"/>
          <w:szCs w:val="24"/>
          <w:lang w:val="en-GB"/>
        </w:rPr>
        <w:t xml:space="preserve">in which every premise is presented as a necessary component of the </w:t>
      </w:r>
      <w:r>
        <w:rPr>
          <w:rFonts w:ascii="Times New Roman" w:hAnsi="Times New Roman"/>
          <w:sz w:val="24"/>
          <w:szCs w:val="24"/>
          <w:lang w:val="en-GB"/>
        </w:rPr>
        <w:t xml:space="preserve">argument; </w:t>
      </w:r>
      <w:r w:rsidRPr="00813E2C">
        <w:rPr>
          <w:rFonts w:ascii="Times New Roman" w:hAnsi="Times New Roman"/>
          <w:sz w:val="24"/>
          <w:szCs w:val="24"/>
          <w:lang w:val="en-GB"/>
        </w:rPr>
        <w:t xml:space="preserve">10 </w:t>
      </w:r>
      <w:r>
        <w:rPr>
          <w:rFonts w:ascii="Times New Roman" w:hAnsi="Times New Roman"/>
          <w:sz w:val="24"/>
          <w:szCs w:val="24"/>
          <w:lang w:val="en-GB"/>
        </w:rPr>
        <w:t>judgme</w:t>
      </w:r>
      <w:r w:rsidRPr="00813E2C">
        <w:rPr>
          <w:rFonts w:ascii="Times New Roman" w:hAnsi="Times New Roman"/>
          <w:sz w:val="24"/>
          <w:szCs w:val="24"/>
          <w:lang w:val="en-GB"/>
        </w:rPr>
        <w:t xml:space="preserve">nts </w:t>
      </w:r>
      <w:r>
        <w:rPr>
          <w:rFonts w:ascii="Times New Roman" w:hAnsi="Times New Roman"/>
          <w:sz w:val="24"/>
          <w:szCs w:val="24"/>
          <w:lang w:val="en-GB"/>
        </w:rPr>
        <w:t xml:space="preserve">contain </w:t>
      </w:r>
      <w:r w:rsidRPr="004E3AC0">
        <w:rPr>
          <w:rFonts w:ascii="Times New Roman" w:hAnsi="Times New Roman"/>
          <w:sz w:val="24"/>
          <w:szCs w:val="24"/>
          <w:lang w:val="en-GB"/>
        </w:rPr>
        <w:t>parallel, individually inconclusive, but together conclusive arguments</w:t>
      </w:r>
      <w:r>
        <w:rPr>
          <w:rFonts w:ascii="Times New Roman" w:hAnsi="Times New Roman"/>
          <w:sz w:val="24"/>
          <w:szCs w:val="24"/>
          <w:lang w:val="en-GB"/>
        </w:rPr>
        <w:t>. It is worth noting</w:t>
      </w:r>
      <w:r w:rsidRPr="00813E2C">
        <w:rPr>
          <w:rFonts w:ascii="Times New Roman" w:hAnsi="Times New Roman"/>
          <w:sz w:val="24"/>
          <w:szCs w:val="24"/>
          <w:lang w:val="en-GB"/>
        </w:rPr>
        <w:t xml:space="preserve"> that often </w:t>
      </w:r>
      <w:r>
        <w:rPr>
          <w:rFonts w:ascii="Times New Roman" w:hAnsi="Times New Roman"/>
          <w:sz w:val="24"/>
          <w:szCs w:val="24"/>
          <w:lang w:val="en-GB"/>
        </w:rPr>
        <w:t xml:space="preserve">the </w:t>
      </w:r>
      <w:r w:rsidRPr="004E3AC0">
        <w:rPr>
          <w:rFonts w:ascii="Times New Roman" w:hAnsi="Times New Roman"/>
          <w:sz w:val="24"/>
          <w:szCs w:val="24"/>
          <w:lang w:val="en-GB"/>
        </w:rPr>
        <w:t>one-line conclusive arguments</w:t>
      </w:r>
      <w:r>
        <w:rPr>
          <w:rFonts w:ascii="Times New Roman" w:hAnsi="Times New Roman"/>
          <w:sz w:val="24"/>
          <w:szCs w:val="24"/>
          <w:lang w:val="en-GB"/>
        </w:rPr>
        <w:t xml:space="preserve"> consist in one single argument, or even in no </w:t>
      </w:r>
      <w:r w:rsidRPr="00813E2C">
        <w:rPr>
          <w:rFonts w:ascii="Times New Roman" w:hAnsi="Times New Roman"/>
          <w:sz w:val="24"/>
          <w:szCs w:val="24"/>
          <w:lang w:val="en-GB"/>
        </w:rPr>
        <w:t>argument at all</w:t>
      </w:r>
      <w:r>
        <w:rPr>
          <w:rFonts w:ascii="Times New Roman" w:hAnsi="Times New Roman"/>
          <w:sz w:val="24"/>
          <w:szCs w:val="24"/>
          <w:lang w:val="en-GB"/>
        </w:rPr>
        <w:t xml:space="preserve">, when the Court </w:t>
      </w:r>
      <w:r w:rsidRPr="00813E2C">
        <w:rPr>
          <w:rFonts w:ascii="Times New Roman" w:hAnsi="Times New Roman"/>
          <w:sz w:val="24"/>
          <w:szCs w:val="24"/>
          <w:lang w:val="en-GB"/>
        </w:rPr>
        <w:t>limit</w:t>
      </w:r>
      <w:r>
        <w:rPr>
          <w:rFonts w:ascii="Times New Roman" w:hAnsi="Times New Roman"/>
          <w:sz w:val="24"/>
          <w:szCs w:val="24"/>
          <w:lang w:val="en-GB"/>
        </w:rPr>
        <w:t>s</w:t>
      </w:r>
      <w:r w:rsidRPr="00813E2C">
        <w:rPr>
          <w:rFonts w:ascii="Times New Roman" w:hAnsi="Times New Roman"/>
          <w:sz w:val="24"/>
          <w:szCs w:val="24"/>
          <w:lang w:val="en-GB"/>
        </w:rPr>
        <w:t xml:space="preserve"> itself to straightforwardly stating the interpretative conclusion of its (implicit) reasoning</w:t>
      </w:r>
      <w:r>
        <w:rPr>
          <w:rStyle w:val="Rimandonotaapidipagina"/>
          <w:rFonts w:ascii="Times New Roman" w:hAnsi="Times New Roman"/>
          <w:sz w:val="24"/>
          <w:szCs w:val="24"/>
          <w:lang w:val="en-GB"/>
        </w:rPr>
        <w:footnoteReference w:id="24"/>
      </w:r>
      <w:r w:rsidRPr="00813E2C">
        <w:rPr>
          <w:rFonts w:ascii="Times New Roman" w:hAnsi="Times New Roman"/>
          <w:sz w:val="24"/>
          <w:szCs w:val="24"/>
          <w:lang w:val="en-GB"/>
        </w:rPr>
        <w:t xml:space="preserve">. </w:t>
      </w:r>
    </w:p>
    <w:p w:rsidR="005E6612"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Often the judgme</w:t>
      </w:r>
      <w:r w:rsidRPr="00813E2C">
        <w:rPr>
          <w:rFonts w:ascii="Times New Roman" w:hAnsi="Times New Roman"/>
          <w:sz w:val="24"/>
          <w:szCs w:val="24"/>
          <w:lang w:val="en-GB"/>
        </w:rPr>
        <w:t>nt</w:t>
      </w:r>
      <w:r>
        <w:rPr>
          <w:rFonts w:ascii="Times New Roman" w:hAnsi="Times New Roman"/>
          <w:sz w:val="24"/>
          <w:szCs w:val="24"/>
          <w:lang w:val="en-GB"/>
        </w:rPr>
        <w:t>s</w:t>
      </w:r>
      <w:r w:rsidRPr="00813E2C">
        <w:rPr>
          <w:rFonts w:ascii="Times New Roman" w:hAnsi="Times New Roman"/>
          <w:sz w:val="24"/>
          <w:szCs w:val="24"/>
          <w:lang w:val="en-GB"/>
        </w:rPr>
        <w:t xml:space="preserve"> do not make clear if the arguments </w:t>
      </w:r>
      <w:r>
        <w:rPr>
          <w:rFonts w:ascii="Times New Roman" w:hAnsi="Times New Roman"/>
          <w:sz w:val="24"/>
          <w:szCs w:val="24"/>
          <w:lang w:val="en-GB"/>
        </w:rPr>
        <w:t xml:space="preserve">they </w:t>
      </w:r>
      <w:r w:rsidRPr="00813E2C">
        <w:rPr>
          <w:rFonts w:ascii="Times New Roman" w:hAnsi="Times New Roman"/>
          <w:sz w:val="24"/>
          <w:szCs w:val="24"/>
          <w:lang w:val="en-GB"/>
        </w:rPr>
        <w:t xml:space="preserve">employ are </w:t>
      </w:r>
      <w:r w:rsidRPr="00813E2C">
        <w:rPr>
          <w:rFonts w:ascii="Times New Roman" w:hAnsi="Times New Roman"/>
          <w:i/>
          <w:iCs/>
          <w:sz w:val="24"/>
          <w:szCs w:val="24"/>
          <w:lang w:val="en-GB"/>
        </w:rPr>
        <w:t xml:space="preserve">per se </w:t>
      </w:r>
      <w:r w:rsidRPr="00813E2C">
        <w:rPr>
          <w:rFonts w:ascii="Times New Roman" w:hAnsi="Times New Roman"/>
          <w:sz w:val="24"/>
          <w:szCs w:val="24"/>
          <w:lang w:val="en-GB"/>
        </w:rPr>
        <w:t xml:space="preserve">sufficient to sustain the conclusion of the reasoning. </w:t>
      </w:r>
      <w:r>
        <w:rPr>
          <w:rFonts w:ascii="Times New Roman" w:hAnsi="Times New Roman"/>
          <w:sz w:val="24"/>
          <w:szCs w:val="24"/>
          <w:lang w:val="en-GB"/>
        </w:rPr>
        <w:t xml:space="preserve">However, in some cases the distinction between conclusive and inconclusive arguments is relatively easy, either because there is some textual basis available – e.g., </w:t>
      </w:r>
      <w:r w:rsidRPr="00813E2C">
        <w:rPr>
          <w:rFonts w:ascii="Times New Roman" w:hAnsi="Times New Roman"/>
          <w:sz w:val="24"/>
          <w:szCs w:val="24"/>
          <w:lang w:val="en-GB"/>
        </w:rPr>
        <w:t xml:space="preserve">the Court states that a conclusion </w:t>
      </w:r>
      <w:r>
        <w:rPr>
          <w:rFonts w:ascii="Times New Roman" w:hAnsi="Times New Roman"/>
          <w:sz w:val="24"/>
          <w:szCs w:val="24"/>
          <w:lang w:val="en-GB"/>
        </w:rPr>
        <w:t>‘</w:t>
      </w:r>
      <w:r w:rsidRPr="00813E2C">
        <w:rPr>
          <w:rFonts w:ascii="Times New Roman" w:hAnsi="Times New Roman"/>
          <w:sz w:val="24"/>
          <w:szCs w:val="24"/>
          <w:lang w:val="en-GB"/>
        </w:rPr>
        <w:t>is confirmed</w:t>
      </w:r>
      <w:r>
        <w:rPr>
          <w:rFonts w:ascii="Times New Roman" w:hAnsi="Times New Roman"/>
          <w:sz w:val="24"/>
          <w:szCs w:val="24"/>
          <w:lang w:val="en-GB"/>
        </w:rPr>
        <w:t>’</w:t>
      </w:r>
      <w:r w:rsidRPr="00813E2C">
        <w:rPr>
          <w:rFonts w:ascii="Times New Roman" w:hAnsi="Times New Roman"/>
          <w:sz w:val="24"/>
          <w:szCs w:val="24"/>
          <w:lang w:val="en-GB"/>
        </w:rPr>
        <w:t xml:space="preserve"> by another argument</w:t>
      </w:r>
      <w:r>
        <w:rPr>
          <w:rFonts w:ascii="Times New Roman" w:hAnsi="Times New Roman"/>
          <w:sz w:val="24"/>
          <w:szCs w:val="24"/>
          <w:lang w:val="en-GB"/>
        </w:rPr>
        <w:t xml:space="preserve">, </w:t>
      </w:r>
      <w:r w:rsidRPr="00813E2C">
        <w:rPr>
          <w:rFonts w:ascii="Times New Roman" w:hAnsi="Times New Roman"/>
          <w:sz w:val="24"/>
          <w:szCs w:val="24"/>
          <w:lang w:val="en-GB"/>
        </w:rPr>
        <w:t>which presumably would not have been self-sufficient, an</w:t>
      </w:r>
      <w:r>
        <w:rPr>
          <w:rFonts w:ascii="Times New Roman" w:hAnsi="Times New Roman"/>
          <w:sz w:val="24"/>
          <w:szCs w:val="24"/>
          <w:lang w:val="en-GB"/>
        </w:rPr>
        <w:t>d that an</w:t>
      </w:r>
      <w:r w:rsidRPr="00813E2C">
        <w:rPr>
          <w:rFonts w:ascii="Times New Roman" w:hAnsi="Times New Roman"/>
          <w:sz w:val="24"/>
          <w:szCs w:val="24"/>
          <w:lang w:val="en-GB"/>
        </w:rPr>
        <w:t xml:space="preserve"> interpretation is </w:t>
      </w:r>
      <w:r>
        <w:rPr>
          <w:rFonts w:ascii="Times New Roman" w:hAnsi="Times New Roman"/>
          <w:sz w:val="24"/>
          <w:szCs w:val="24"/>
          <w:lang w:val="en-GB"/>
        </w:rPr>
        <w:t>‘</w:t>
      </w:r>
      <w:r w:rsidRPr="00813E2C">
        <w:rPr>
          <w:rFonts w:ascii="Times New Roman" w:hAnsi="Times New Roman"/>
          <w:sz w:val="24"/>
          <w:szCs w:val="24"/>
          <w:lang w:val="en-GB"/>
        </w:rPr>
        <w:t>reinforced</w:t>
      </w:r>
      <w:r>
        <w:rPr>
          <w:rFonts w:ascii="Times New Roman" w:hAnsi="Times New Roman"/>
          <w:sz w:val="24"/>
          <w:szCs w:val="24"/>
          <w:lang w:val="en-GB"/>
        </w:rPr>
        <w:t>’ by a certain consideration</w:t>
      </w:r>
      <w:r w:rsidRPr="00813E2C">
        <w:rPr>
          <w:rStyle w:val="Rimandonotaapidipagina"/>
          <w:rFonts w:ascii="Times New Roman" w:hAnsi="Times New Roman"/>
          <w:sz w:val="24"/>
          <w:szCs w:val="24"/>
          <w:lang w:val="en-GB"/>
        </w:rPr>
        <w:footnoteReference w:id="25"/>
      </w:r>
      <w:r w:rsidRPr="00813E2C">
        <w:rPr>
          <w:rFonts w:ascii="Times New Roman" w:hAnsi="Times New Roman"/>
          <w:sz w:val="24"/>
          <w:szCs w:val="24"/>
          <w:lang w:val="en-GB"/>
        </w:rPr>
        <w:t xml:space="preserve"> </w:t>
      </w:r>
      <w:r>
        <w:rPr>
          <w:rFonts w:ascii="Times New Roman" w:hAnsi="Times New Roman"/>
          <w:sz w:val="24"/>
          <w:szCs w:val="24"/>
          <w:lang w:val="en-GB"/>
        </w:rPr>
        <w:t xml:space="preserve">–, or because </w:t>
      </w:r>
      <w:r w:rsidRPr="00813E2C">
        <w:rPr>
          <w:rFonts w:ascii="Times New Roman" w:hAnsi="Times New Roman"/>
          <w:sz w:val="24"/>
          <w:szCs w:val="24"/>
          <w:lang w:val="en-GB"/>
        </w:rPr>
        <w:t xml:space="preserve">the content and nature of the argument put forward by the Court makes it clear that </w:t>
      </w:r>
      <w:r>
        <w:rPr>
          <w:rFonts w:ascii="Times New Roman" w:hAnsi="Times New Roman"/>
          <w:sz w:val="24"/>
          <w:szCs w:val="24"/>
          <w:lang w:val="en-GB"/>
        </w:rPr>
        <w:t xml:space="preserve">it is </w:t>
      </w:r>
      <w:r w:rsidRPr="00813E2C">
        <w:rPr>
          <w:rFonts w:ascii="Times New Roman" w:hAnsi="Times New Roman"/>
          <w:sz w:val="24"/>
          <w:szCs w:val="24"/>
          <w:lang w:val="en-GB"/>
        </w:rPr>
        <w:t>not self-sufficient but merely reinforce</w:t>
      </w:r>
      <w:r>
        <w:rPr>
          <w:rFonts w:ascii="Times New Roman" w:hAnsi="Times New Roman"/>
          <w:sz w:val="24"/>
          <w:szCs w:val="24"/>
          <w:lang w:val="en-GB"/>
        </w:rPr>
        <w:t>s</w:t>
      </w:r>
      <w:r w:rsidRPr="00813E2C">
        <w:rPr>
          <w:rFonts w:ascii="Times New Roman" w:hAnsi="Times New Roman"/>
          <w:sz w:val="24"/>
          <w:szCs w:val="24"/>
          <w:lang w:val="en-GB"/>
        </w:rPr>
        <w:t xml:space="preserve"> </w:t>
      </w:r>
      <w:r>
        <w:rPr>
          <w:rFonts w:ascii="Times New Roman" w:hAnsi="Times New Roman"/>
          <w:sz w:val="24"/>
          <w:szCs w:val="24"/>
          <w:lang w:val="en-GB"/>
        </w:rPr>
        <w:t xml:space="preserve">other </w:t>
      </w:r>
      <w:r w:rsidRPr="00813E2C">
        <w:rPr>
          <w:rFonts w:ascii="Times New Roman" w:hAnsi="Times New Roman"/>
          <w:sz w:val="24"/>
          <w:szCs w:val="24"/>
          <w:lang w:val="en-GB"/>
        </w:rPr>
        <w:t>argument</w:t>
      </w:r>
      <w:r>
        <w:rPr>
          <w:rFonts w:ascii="Times New Roman" w:hAnsi="Times New Roman"/>
          <w:sz w:val="24"/>
          <w:szCs w:val="24"/>
          <w:lang w:val="en-GB"/>
        </w:rPr>
        <w:t>s</w:t>
      </w:r>
      <w:r w:rsidRPr="00813E2C">
        <w:rPr>
          <w:rFonts w:ascii="Times New Roman" w:hAnsi="Times New Roman"/>
          <w:sz w:val="24"/>
          <w:szCs w:val="24"/>
          <w:lang w:val="en-GB"/>
        </w:rPr>
        <w:t xml:space="preserve">. </w:t>
      </w:r>
    </w:p>
    <w:p w:rsidR="005E6612" w:rsidRPr="00813E2C" w:rsidRDefault="005E6612" w:rsidP="00EB0ED8">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It must be stressed that </w:t>
      </w:r>
      <w:r w:rsidRPr="004E3AC0">
        <w:rPr>
          <w:rFonts w:ascii="Times New Roman" w:hAnsi="Times New Roman"/>
          <w:sz w:val="24"/>
          <w:szCs w:val="24"/>
          <w:lang w:val="en-GB"/>
        </w:rPr>
        <w:t>parallel, individually inconclusive, but together conclusive arguments</w:t>
      </w:r>
      <w:r>
        <w:rPr>
          <w:rFonts w:ascii="Times New Roman" w:hAnsi="Times New Roman"/>
          <w:sz w:val="24"/>
          <w:szCs w:val="24"/>
          <w:lang w:val="en-GB"/>
        </w:rPr>
        <w:t xml:space="preserve"> do not imply that the judgment is ‘</w:t>
      </w:r>
      <w:r w:rsidRPr="00813E2C">
        <w:rPr>
          <w:rFonts w:ascii="Times New Roman" w:hAnsi="Times New Roman"/>
          <w:sz w:val="24"/>
          <w:szCs w:val="24"/>
          <w:lang w:val="en-GB"/>
        </w:rPr>
        <w:t>dialogical</w:t>
      </w:r>
      <w:r>
        <w:rPr>
          <w:rFonts w:ascii="Times New Roman" w:hAnsi="Times New Roman"/>
          <w:sz w:val="24"/>
          <w:szCs w:val="24"/>
          <w:lang w:val="en-GB"/>
        </w:rPr>
        <w:t>’</w:t>
      </w:r>
      <w:r w:rsidRPr="00813E2C">
        <w:rPr>
          <w:rFonts w:ascii="Times New Roman" w:hAnsi="Times New Roman"/>
          <w:sz w:val="24"/>
          <w:szCs w:val="24"/>
          <w:lang w:val="en-GB"/>
        </w:rPr>
        <w:t xml:space="preserve"> in the sense of adopting a discursive style of reasoning. By all means the style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is not discursive; at times, however, the Court considers it appropriate to reinforce its line of reasoning by adding some further considerations in support of the conclusion. </w:t>
      </w:r>
      <w:r>
        <w:rPr>
          <w:rFonts w:ascii="Times New Roman" w:hAnsi="Times New Roman"/>
          <w:sz w:val="24"/>
          <w:szCs w:val="24"/>
          <w:lang w:val="en-GB"/>
        </w:rPr>
        <w:t>Thus, a</w:t>
      </w:r>
      <w:r w:rsidRPr="00813E2C">
        <w:rPr>
          <w:rFonts w:ascii="Times New Roman" w:hAnsi="Times New Roman"/>
          <w:sz w:val="24"/>
          <w:szCs w:val="24"/>
          <w:lang w:val="en-GB"/>
        </w:rPr>
        <w:t xml:space="preserve"> decision such as </w:t>
      </w:r>
      <w:r w:rsidRPr="00813E2C">
        <w:rPr>
          <w:rFonts w:ascii="Times New Roman" w:hAnsi="Times New Roman"/>
          <w:i/>
          <w:iCs/>
          <w:sz w:val="24"/>
          <w:szCs w:val="24"/>
          <w:lang w:val="en-GB"/>
        </w:rPr>
        <w:t xml:space="preserve">Van Gend en Loos </w:t>
      </w:r>
      <w:r w:rsidRPr="00813E2C">
        <w:rPr>
          <w:rFonts w:ascii="Times New Roman" w:hAnsi="Times New Roman"/>
          <w:sz w:val="24"/>
          <w:szCs w:val="24"/>
          <w:lang w:val="en-GB"/>
        </w:rPr>
        <w:t>(1963) that is renowned not only for its importance in the development of Community law but also for the laconic and magisterial tone</w:t>
      </w:r>
      <w:r>
        <w:rPr>
          <w:rFonts w:ascii="Times New Roman" w:hAnsi="Times New Roman"/>
          <w:sz w:val="24"/>
          <w:szCs w:val="24"/>
          <w:lang w:val="en-GB"/>
        </w:rPr>
        <w:t xml:space="preserve">, exhibits </w:t>
      </w:r>
      <w:r w:rsidRPr="004E3AC0">
        <w:rPr>
          <w:rFonts w:ascii="Times New Roman" w:hAnsi="Times New Roman"/>
          <w:sz w:val="24"/>
          <w:szCs w:val="24"/>
          <w:lang w:val="en-GB"/>
        </w:rPr>
        <w:t>parallel, individually inconclusive, but together conclusive arguments</w:t>
      </w:r>
      <w:r>
        <w:rPr>
          <w:rFonts w:ascii="Times New Roman" w:hAnsi="Times New Roman"/>
          <w:sz w:val="24"/>
          <w:szCs w:val="24"/>
          <w:lang w:val="en-GB"/>
        </w:rPr>
        <w:t xml:space="preserve"> (‘This view is confirmed by the </w:t>
      </w:r>
      <w:r w:rsidRPr="00813E2C">
        <w:rPr>
          <w:rFonts w:ascii="Times New Roman" w:hAnsi="Times New Roman"/>
          <w:sz w:val="24"/>
          <w:szCs w:val="24"/>
          <w:lang w:val="en-GB"/>
        </w:rPr>
        <w:t>Preamble</w:t>
      </w:r>
      <w:r>
        <w:rPr>
          <w:rFonts w:ascii="Times New Roman" w:hAnsi="Times New Roman"/>
          <w:sz w:val="24"/>
          <w:szCs w:val="24"/>
          <w:lang w:val="en-GB"/>
        </w:rPr>
        <w:t xml:space="preserve"> ... </w:t>
      </w:r>
      <w:r w:rsidRPr="00813E2C">
        <w:rPr>
          <w:rFonts w:ascii="Times New Roman" w:hAnsi="Times New Roman"/>
          <w:sz w:val="24"/>
          <w:szCs w:val="24"/>
          <w:lang w:val="en-GB"/>
        </w:rPr>
        <w:t>It is also confirmed more specifically by the establishment of institutions endowed with sovereign rights</w:t>
      </w:r>
      <w:r>
        <w:rPr>
          <w:rFonts w:ascii="Times New Roman" w:hAnsi="Times New Roman"/>
          <w:sz w:val="24"/>
          <w:szCs w:val="24"/>
          <w:lang w:val="en-GB"/>
        </w:rPr>
        <w:t xml:space="preserve"> ... </w:t>
      </w:r>
      <w:r w:rsidRPr="00813E2C">
        <w:rPr>
          <w:rFonts w:ascii="Times New Roman" w:hAnsi="Times New Roman"/>
          <w:sz w:val="24"/>
          <w:szCs w:val="24"/>
          <w:lang w:val="en-GB"/>
        </w:rPr>
        <w:t>Furthermore, it must be noted that</w:t>
      </w:r>
      <w:r>
        <w:rPr>
          <w:rFonts w:ascii="Times New Roman" w:hAnsi="Times New Roman"/>
          <w:sz w:val="24"/>
          <w:szCs w:val="24"/>
          <w:lang w:val="en-GB"/>
        </w:rPr>
        <w:t xml:space="preserve"> the </w:t>
      </w:r>
      <w:r w:rsidRPr="00813E2C">
        <w:rPr>
          <w:rFonts w:ascii="Times New Roman" w:hAnsi="Times New Roman"/>
          <w:sz w:val="24"/>
          <w:szCs w:val="24"/>
          <w:lang w:val="en-GB"/>
        </w:rPr>
        <w:t>nationals of the states</w:t>
      </w:r>
      <w:r>
        <w:rPr>
          <w:rFonts w:ascii="Times New Roman" w:hAnsi="Times New Roman"/>
          <w:sz w:val="24"/>
          <w:szCs w:val="24"/>
          <w:lang w:val="en-GB"/>
        </w:rPr>
        <w:t xml:space="preserve"> ... </w:t>
      </w:r>
      <w:r w:rsidRPr="00813E2C">
        <w:rPr>
          <w:rFonts w:ascii="Times New Roman" w:hAnsi="Times New Roman"/>
          <w:sz w:val="24"/>
          <w:szCs w:val="24"/>
          <w:lang w:val="en-GB"/>
        </w:rPr>
        <w:t>are called upon to cooperate in the functioning of this community</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26"/>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3. </w:t>
      </w:r>
      <w:r w:rsidRPr="00813E2C">
        <w:rPr>
          <w:rFonts w:ascii="Times New Roman" w:hAnsi="Times New Roman"/>
          <w:i/>
          <w:iCs/>
          <w:sz w:val="24"/>
          <w:szCs w:val="24"/>
          <w:lang w:val="en-GB"/>
        </w:rPr>
        <w:t>Analogies</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We found </w:t>
      </w:r>
      <w:r>
        <w:rPr>
          <w:rFonts w:ascii="Times New Roman" w:hAnsi="Times New Roman"/>
          <w:sz w:val="24"/>
          <w:szCs w:val="24"/>
          <w:lang w:val="en-GB"/>
        </w:rPr>
        <w:t>seven</w:t>
      </w:r>
      <w:r w:rsidRPr="00813E2C">
        <w:rPr>
          <w:rFonts w:ascii="Times New Roman" w:hAnsi="Times New Roman"/>
          <w:sz w:val="24"/>
          <w:szCs w:val="24"/>
          <w:lang w:val="en-GB"/>
        </w:rPr>
        <w:t xml:space="preserve"> </w:t>
      </w:r>
      <w:r>
        <w:rPr>
          <w:rFonts w:ascii="Times New Roman" w:hAnsi="Times New Roman"/>
          <w:sz w:val="24"/>
          <w:szCs w:val="24"/>
          <w:lang w:val="en-GB"/>
        </w:rPr>
        <w:t>judgme</w:t>
      </w:r>
      <w:r w:rsidRPr="00813E2C">
        <w:rPr>
          <w:rFonts w:ascii="Times New Roman" w:hAnsi="Times New Roman"/>
          <w:sz w:val="24"/>
          <w:szCs w:val="24"/>
          <w:lang w:val="en-GB"/>
        </w:rPr>
        <w:t xml:space="preserve">nts in which the Court had recourse to analogical reasoning. </w:t>
      </w:r>
    </w:p>
    <w:p w:rsidR="005E6612" w:rsidRPr="00813E2C" w:rsidRDefault="005E6612" w:rsidP="00B27D8E">
      <w:pPr>
        <w:spacing w:line="240" w:lineRule="auto"/>
        <w:jc w:val="both"/>
        <w:rPr>
          <w:rFonts w:ascii="Times New Roman" w:hAnsi="Times New Roman"/>
          <w:iCs/>
          <w:sz w:val="24"/>
          <w:szCs w:val="24"/>
          <w:lang w:val="en-GB"/>
        </w:rPr>
      </w:pPr>
      <w:r w:rsidRPr="00813E2C">
        <w:rPr>
          <w:rFonts w:ascii="Times New Roman" w:hAnsi="Times New Roman"/>
          <w:sz w:val="24"/>
          <w:szCs w:val="24"/>
          <w:lang w:val="en-GB"/>
        </w:rPr>
        <w:t xml:space="preserve">In </w:t>
      </w:r>
      <w:r w:rsidRPr="00813E2C">
        <w:rPr>
          <w:rFonts w:ascii="Times New Roman" w:hAnsi="Times New Roman"/>
          <w:i/>
          <w:iCs/>
          <w:sz w:val="24"/>
          <w:szCs w:val="24"/>
          <w:lang w:val="en-GB"/>
        </w:rPr>
        <w:t>Bosman</w:t>
      </w:r>
      <w:r w:rsidRPr="00813E2C">
        <w:rPr>
          <w:rFonts w:ascii="Times New Roman" w:hAnsi="Times New Roman"/>
          <w:sz w:val="24"/>
          <w:szCs w:val="24"/>
          <w:lang w:val="en-GB"/>
        </w:rPr>
        <w:t xml:space="preserve"> (1995) the Court took into consideration the argument by analogy simply in order to dismiss it as irrelevant for the case. </w:t>
      </w:r>
      <w:r>
        <w:rPr>
          <w:rFonts w:ascii="Times New Roman" w:hAnsi="Times New Roman"/>
          <w:sz w:val="24"/>
          <w:szCs w:val="24"/>
          <w:lang w:val="en-GB"/>
        </w:rPr>
        <w:t>It held that ‘</w:t>
      </w:r>
      <w:r w:rsidRPr="00813E2C">
        <w:rPr>
          <w:rFonts w:ascii="Times New Roman" w:hAnsi="Times New Roman"/>
          <w:sz w:val="24"/>
          <w:szCs w:val="24"/>
          <w:lang w:val="en-GB"/>
        </w:rPr>
        <w:t xml:space="preserve">[t]he argument </w:t>
      </w:r>
      <w:r w:rsidRPr="00813E2C">
        <w:rPr>
          <w:rFonts w:ascii="Times New Roman" w:hAnsi="Times New Roman"/>
          <w:iCs/>
          <w:sz w:val="24"/>
          <w:szCs w:val="24"/>
          <w:lang w:val="en-GB"/>
        </w:rPr>
        <w:t xml:space="preserve">based on points of alleged similarity between sport and culture [could not] be accepted” because the issue of the case </w:t>
      </w:r>
      <w:r>
        <w:rPr>
          <w:rFonts w:ascii="Times New Roman" w:hAnsi="Times New Roman"/>
          <w:iCs/>
          <w:sz w:val="24"/>
          <w:szCs w:val="24"/>
          <w:lang w:val="en-GB"/>
        </w:rPr>
        <w:t>focused</w:t>
      </w:r>
      <w:r w:rsidRPr="00813E2C">
        <w:rPr>
          <w:rFonts w:ascii="Times New Roman" w:hAnsi="Times New Roman"/>
          <w:iCs/>
          <w:sz w:val="24"/>
          <w:szCs w:val="24"/>
          <w:lang w:val="en-GB"/>
        </w:rPr>
        <w:t xml:space="preserve"> “on the scope of the freedom of movement of workers … which is a fundamental freedom in the Community system</w:t>
      </w:r>
      <w:r>
        <w:rPr>
          <w:rFonts w:ascii="Times New Roman" w:hAnsi="Times New Roman"/>
          <w:iCs/>
          <w:sz w:val="24"/>
          <w:szCs w:val="24"/>
          <w:lang w:val="en-GB"/>
        </w:rPr>
        <w:t>’.</w:t>
      </w:r>
      <w:r w:rsidRPr="00813E2C">
        <w:rPr>
          <w:rStyle w:val="Rimandonotaapidipagina"/>
          <w:rFonts w:ascii="Times New Roman" w:hAnsi="Times New Roman"/>
          <w:iCs/>
          <w:sz w:val="24"/>
          <w:szCs w:val="24"/>
          <w:lang w:val="en-GB"/>
        </w:rPr>
        <w:footnoteReference w:id="27"/>
      </w:r>
      <w:r w:rsidRPr="00813E2C">
        <w:rPr>
          <w:rFonts w:ascii="Times New Roman" w:hAnsi="Times New Roman"/>
          <w:iCs/>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In the broad majority of cases of recourse to analogy, the Court simply </w:t>
      </w:r>
      <w:r>
        <w:rPr>
          <w:rFonts w:ascii="Times New Roman" w:hAnsi="Times New Roman"/>
          <w:sz w:val="24"/>
          <w:szCs w:val="24"/>
          <w:lang w:val="en-GB"/>
        </w:rPr>
        <w:t>made</w:t>
      </w:r>
      <w:r w:rsidRPr="00813E2C">
        <w:rPr>
          <w:rFonts w:ascii="Times New Roman" w:hAnsi="Times New Roman"/>
          <w:sz w:val="24"/>
          <w:szCs w:val="24"/>
          <w:lang w:val="en-GB"/>
        </w:rPr>
        <w:t xml:space="preserve"> reference to a precedent </w:t>
      </w:r>
      <w:r>
        <w:rPr>
          <w:rFonts w:ascii="Times New Roman" w:hAnsi="Times New Roman"/>
          <w:sz w:val="24"/>
          <w:szCs w:val="24"/>
          <w:lang w:val="en-GB"/>
        </w:rPr>
        <w:t>of</w:t>
      </w:r>
      <w:r w:rsidRPr="00813E2C">
        <w:rPr>
          <w:rFonts w:ascii="Times New Roman" w:hAnsi="Times New Roman"/>
          <w:sz w:val="24"/>
          <w:szCs w:val="24"/>
          <w:lang w:val="en-GB"/>
        </w:rPr>
        <w:t xml:space="preserve"> its case law that c</w:t>
      </w:r>
      <w:r>
        <w:rPr>
          <w:rFonts w:ascii="Times New Roman" w:hAnsi="Times New Roman"/>
          <w:sz w:val="24"/>
          <w:szCs w:val="24"/>
          <w:lang w:val="en-GB"/>
        </w:rPr>
        <w:t xml:space="preserve">ould have </w:t>
      </w:r>
      <w:r w:rsidRPr="00813E2C">
        <w:rPr>
          <w:rFonts w:ascii="Times New Roman" w:hAnsi="Times New Roman"/>
          <w:sz w:val="24"/>
          <w:szCs w:val="24"/>
          <w:lang w:val="en-GB"/>
        </w:rPr>
        <w:t>be</w:t>
      </w:r>
      <w:r>
        <w:rPr>
          <w:rFonts w:ascii="Times New Roman" w:hAnsi="Times New Roman"/>
          <w:sz w:val="24"/>
          <w:szCs w:val="24"/>
          <w:lang w:val="en-GB"/>
        </w:rPr>
        <w:t>en</w:t>
      </w:r>
      <w:r w:rsidRPr="00813E2C">
        <w:rPr>
          <w:rFonts w:ascii="Times New Roman" w:hAnsi="Times New Roman"/>
          <w:sz w:val="24"/>
          <w:szCs w:val="24"/>
          <w:lang w:val="en-GB"/>
        </w:rPr>
        <w:t xml:space="preserve"> applied to the case at hand </w:t>
      </w:r>
      <w:r>
        <w:rPr>
          <w:rFonts w:ascii="Times New Roman" w:hAnsi="Times New Roman"/>
          <w:sz w:val="24"/>
          <w:szCs w:val="24"/>
          <w:lang w:val="en-GB"/>
        </w:rPr>
        <w:t>only ‘</w:t>
      </w:r>
      <w:r w:rsidRPr="00813E2C">
        <w:rPr>
          <w:rFonts w:ascii="Times New Roman" w:hAnsi="Times New Roman"/>
          <w:sz w:val="24"/>
          <w:szCs w:val="24"/>
          <w:lang w:val="en-GB"/>
        </w:rPr>
        <w:t>by way of analogy</w:t>
      </w:r>
      <w:r>
        <w:rPr>
          <w:rFonts w:ascii="Times New Roman" w:hAnsi="Times New Roman"/>
          <w:sz w:val="24"/>
          <w:szCs w:val="24"/>
          <w:lang w:val="en-GB"/>
        </w:rPr>
        <w:t>’</w:t>
      </w:r>
      <w:r w:rsidRPr="00813E2C">
        <w:rPr>
          <w:rFonts w:ascii="Times New Roman" w:hAnsi="Times New Roman"/>
          <w:sz w:val="24"/>
          <w:szCs w:val="24"/>
          <w:lang w:val="en-GB"/>
        </w:rPr>
        <w:t xml:space="preserve">, </w:t>
      </w:r>
      <w:r w:rsidRPr="00813E2C">
        <w:rPr>
          <w:rFonts w:ascii="Times New Roman" w:hAnsi="Times New Roman"/>
          <w:sz w:val="24"/>
          <w:szCs w:val="24"/>
          <w:lang w:val="en-GB"/>
        </w:rPr>
        <w:lastRenderedPageBreak/>
        <w:t>as the Court explicitly acknowledge</w:t>
      </w:r>
      <w:r>
        <w:rPr>
          <w:rFonts w:ascii="Times New Roman" w:hAnsi="Times New Roman"/>
          <w:sz w:val="24"/>
          <w:szCs w:val="24"/>
          <w:lang w:val="en-GB"/>
        </w:rPr>
        <w:t>d</w:t>
      </w:r>
      <w:r w:rsidRPr="00813E2C">
        <w:rPr>
          <w:rFonts w:ascii="Times New Roman" w:hAnsi="Times New Roman"/>
          <w:sz w:val="24"/>
          <w:szCs w:val="24"/>
          <w:lang w:val="en-GB"/>
        </w:rPr>
        <w:t xml:space="preserve">: there </w:t>
      </w:r>
      <w:r>
        <w:rPr>
          <w:rFonts w:ascii="Times New Roman" w:hAnsi="Times New Roman"/>
          <w:sz w:val="24"/>
          <w:szCs w:val="24"/>
          <w:lang w:val="en-GB"/>
        </w:rPr>
        <w:t xml:space="preserve">was </w:t>
      </w:r>
      <w:r w:rsidRPr="00813E2C">
        <w:rPr>
          <w:rFonts w:ascii="Times New Roman" w:hAnsi="Times New Roman"/>
          <w:sz w:val="24"/>
          <w:szCs w:val="24"/>
          <w:lang w:val="en-GB"/>
        </w:rPr>
        <w:t xml:space="preserve">no identity between the prior decision and the </w:t>
      </w:r>
      <w:r>
        <w:rPr>
          <w:rFonts w:ascii="Times New Roman" w:hAnsi="Times New Roman"/>
          <w:sz w:val="24"/>
          <w:szCs w:val="24"/>
          <w:lang w:val="en-GB"/>
        </w:rPr>
        <w:t>issue of the case</w:t>
      </w:r>
      <w:r w:rsidRPr="00813E2C">
        <w:rPr>
          <w:rFonts w:ascii="Times New Roman" w:hAnsi="Times New Roman"/>
          <w:sz w:val="24"/>
          <w:szCs w:val="24"/>
          <w:lang w:val="en-GB"/>
        </w:rPr>
        <w:t xml:space="preserve"> but still there </w:t>
      </w:r>
      <w:r>
        <w:rPr>
          <w:rFonts w:ascii="Times New Roman" w:hAnsi="Times New Roman"/>
          <w:sz w:val="24"/>
          <w:szCs w:val="24"/>
          <w:lang w:val="en-GB"/>
        </w:rPr>
        <w:t xml:space="preserve">were </w:t>
      </w:r>
      <w:r w:rsidRPr="00813E2C">
        <w:rPr>
          <w:rFonts w:ascii="Times New Roman" w:hAnsi="Times New Roman"/>
          <w:sz w:val="24"/>
          <w:szCs w:val="24"/>
          <w:lang w:val="en-GB"/>
        </w:rPr>
        <w:t>some similarities that suggest</w:t>
      </w:r>
      <w:r>
        <w:rPr>
          <w:rFonts w:ascii="Times New Roman" w:hAnsi="Times New Roman"/>
          <w:sz w:val="24"/>
          <w:szCs w:val="24"/>
          <w:lang w:val="en-GB"/>
        </w:rPr>
        <w:t xml:space="preserve">ed that the prior decision could have been </w:t>
      </w:r>
      <w:r w:rsidRPr="00813E2C">
        <w:rPr>
          <w:rFonts w:ascii="Times New Roman" w:hAnsi="Times New Roman"/>
          <w:sz w:val="24"/>
          <w:szCs w:val="24"/>
          <w:lang w:val="en-GB"/>
        </w:rPr>
        <w:t xml:space="preserve">extended to cover the new case. Reasoning through precedents and reasoning by analogy are </w:t>
      </w:r>
      <w:r>
        <w:rPr>
          <w:rFonts w:ascii="Times New Roman" w:hAnsi="Times New Roman"/>
          <w:sz w:val="24"/>
          <w:szCs w:val="24"/>
          <w:lang w:val="en-GB"/>
        </w:rPr>
        <w:t xml:space="preserve">of a </w:t>
      </w:r>
      <w:r w:rsidRPr="00813E2C">
        <w:rPr>
          <w:rFonts w:ascii="Times New Roman" w:hAnsi="Times New Roman"/>
          <w:sz w:val="24"/>
          <w:szCs w:val="24"/>
          <w:lang w:val="en-GB"/>
        </w:rPr>
        <w:t>different kind</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28"/>
      </w:r>
      <w:r w:rsidRPr="00813E2C">
        <w:rPr>
          <w:rFonts w:ascii="Times New Roman" w:hAnsi="Times New Roman"/>
          <w:sz w:val="24"/>
          <w:szCs w:val="24"/>
          <w:lang w:val="en-GB"/>
        </w:rPr>
        <w:t xml:space="preserve"> Therefore, we considered as analogy only those cases in which the Court </w:t>
      </w:r>
      <w:r>
        <w:rPr>
          <w:rFonts w:ascii="Times New Roman" w:hAnsi="Times New Roman"/>
          <w:sz w:val="24"/>
          <w:szCs w:val="24"/>
          <w:lang w:val="en-GB"/>
        </w:rPr>
        <w:t>did</w:t>
      </w:r>
      <w:r w:rsidRPr="00813E2C">
        <w:rPr>
          <w:rFonts w:ascii="Times New Roman" w:hAnsi="Times New Roman"/>
          <w:sz w:val="24"/>
          <w:szCs w:val="24"/>
          <w:lang w:val="en-GB"/>
        </w:rPr>
        <w:t xml:space="preserve"> not simply apply a precedent but declare</w:t>
      </w:r>
      <w:r>
        <w:rPr>
          <w:rFonts w:ascii="Times New Roman" w:hAnsi="Times New Roman"/>
          <w:sz w:val="24"/>
          <w:szCs w:val="24"/>
          <w:lang w:val="en-GB"/>
        </w:rPr>
        <w:t>d</w:t>
      </w:r>
      <w:r w:rsidRPr="00813E2C">
        <w:rPr>
          <w:rFonts w:ascii="Times New Roman" w:hAnsi="Times New Roman"/>
          <w:sz w:val="24"/>
          <w:szCs w:val="24"/>
          <w:lang w:val="en-GB"/>
        </w:rPr>
        <w:t xml:space="preserve"> explicitly that it </w:t>
      </w:r>
      <w:r>
        <w:rPr>
          <w:rFonts w:ascii="Times New Roman" w:hAnsi="Times New Roman"/>
          <w:sz w:val="24"/>
          <w:szCs w:val="24"/>
          <w:lang w:val="en-GB"/>
        </w:rPr>
        <w:t xml:space="preserve">was </w:t>
      </w:r>
      <w:r w:rsidRPr="00813E2C">
        <w:rPr>
          <w:rFonts w:ascii="Times New Roman" w:hAnsi="Times New Roman"/>
          <w:sz w:val="24"/>
          <w:szCs w:val="24"/>
          <w:lang w:val="en-GB"/>
        </w:rPr>
        <w:t>resorting to an analogical reasoning based on precedents</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29"/>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One interesting case of analogical reasoning not based on precedents is </w:t>
      </w:r>
      <w:r w:rsidRPr="00813E2C">
        <w:rPr>
          <w:rFonts w:ascii="Times New Roman" w:hAnsi="Times New Roman"/>
          <w:i/>
          <w:sz w:val="24"/>
          <w:szCs w:val="24"/>
          <w:lang w:val="en-GB"/>
        </w:rPr>
        <w:t xml:space="preserve">Brasserie du Pêcheur </w:t>
      </w:r>
      <w:r w:rsidRPr="00813E2C">
        <w:rPr>
          <w:rFonts w:ascii="Times New Roman" w:hAnsi="Times New Roman"/>
          <w:iCs/>
          <w:sz w:val="24"/>
          <w:szCs w:val="24"/>
          <w:lang w:val="en-GB"/>
        </w:rPr>
        <w:t>(1996)</w:t>
      </w:r>
      <w:r>
        <w:rPr>
          <w:rFonts w:ascii="Times New Roman" w:hAnsi="Times New Roman"/>
          <w:iCs/>
          <w:sz w:val="24"/>
          <w:szCs w:val="24"/>
          <w:lang w:val="en-GB"/>
        </w:rPr>
        <w:t>.</w:t>
      </w:r>
      <w:r w:rsidRPr="00813E2C">
        <w:rPr>
          <w:rStyle w:val="Rimandonotaapidipagina"/>
          <w:rFonts w:ascii="Times New Roman" w:hAnsi="Times New Roman"/>
          <w:sz w:val="24"/>
          <w:szCs w:val="24"/>
          <w:lang w:val="en-GB"/>
        </w:rPr>
        <w:footnoteReference w:id="30"/>
      </w:r>
      <w:r w:rsidRPr="00813E2C">
        <w:rPr>
          <w:rFonts w:ascii="Times New Roman" w:hAnsi="Times New Roman"/>
          <w:iCs/>
          <w:sz w:val="24"/>
          <w:szCs w:val="24"/>
          <w:lang w:val="en-GB"/>
        </w:rPr>
        <w:t xml:space="preserve"> Here</w:t>
      </w:r>
      <w:r>
        <w:rPr>
          <w:rFonts w:ascii="Times New Roman" w:hAnsi="Times New Roman"/>
          <w:iCs/>
          <w:sz w:val="24"/>
          <w:szCs w:val="24"/>
          <w:lang w:val="en-GB"/>
        </w:rPr>
        <w:t>,</w:t>
      </w:r>
      <w:r w:rsidRPr="00813E2C">
        <w:rPr>
          <w:rFonts w:ascii="Times New Roman" w:hAnsi="Times New Roman"/>
          <w:iCs/>
          <w:sz w:val="24"/>
          <w:szCs w:val="24"/>
          <w:lang w:val="en-GB"/>
        </w:rPr>
        <w:t xml:space="preserve"> we </w:t>
      </w:r>
      <w:r>
        <w:rPr>
          <w:rFonts w:ascii="Times New Roman" w:hAnsi="Times New Roman"/>
          <w:iCs/>
          <w:sz w:val="24"/>
          <w:szCs w:val="24"/>
          <w:lang w:val="en-GB"/>
        </w:rPr>
        <w:t xml:space="preserve">actually </w:t>
      </w:r>
      <w:r w:rsidRPr="00813E2C">
        <w:rPr>
          <w:rFonts w:ascii="Times New Roman" w:hAnsi="Times New Roman"/>
          <w:iCs/>
          <w:sz w:val="24"/>
          <w:szCs w:val="24"/>
          <w:lang w:val="en-GB"/>
        </w:rPr>
        <w:t xml:space="preserve">have two different analogies. First, the Court held that a rule of international law on state liability applies </w:t>
      </w:r>
      <w:r>
        <w:rPr>
          <w:rFonts w:ascii="Times New Roman" w:hAnsi="Times New Roman"/>
          <w:iCs/>
          <w:sz w:val="24"/>
          <w:szCs w:val="24"/>
          <w:lang w:val="en-GB"/>
        </w:rPr>
        <w:t>‘</w:t>
      </w:r>
      <w:r w:rsidRPr="00813E2C">
        <w:rPr>
          <w:rFonts w:ascii="Times New Roman" w:hAnsi="Times New Roman"/>
          <w:i/>
          <w:sz w:val="24"/>
          <w:szCs w:val="24"/>
          <w:lang w:val="en-GB"/>
        </w:rPr>
        <w:t>a fortiori</w:t>
      </w:r>
      <w:r w:rsidRPr="00813E2C">
        <w:rPr>
          <w:rFonts w:ascii="Times New Roman" w:hAnsi="Times New Roman"/>
          <w:iCs/>
          <w:sz w:val="24"/>
          <w:szCs w:val="24"/>
          <w:lang w:val="en-GB"/>
        </w:rPr>
        <w:t xml:space="preserve"> in the Community legal order</w:t>
      </w:r>
      <w:r>
        <w:rPr>
          <w:rFonts w:ascii="Times New Roman" w:hAnsi="Times New Roman"/>
          <w:iCs/>
          <w:sz w:val="24"/>
          <w:szCs w:val="24"/>
          <w:lang w:val="en-GB"/>
        </w:rPr>
        <w:t>’</w:t>
      </w:r>
      <w:r w:rsidRPr="00813E2C">
        <w:rPr>
          <w:rFonts w:ascii="Times New Roman" w:hAnsi="Times New Roman"/>
          <w:iCs/>
          <w:sz w:val="24"/>
          <w:szCs w:val="24"/>
          <w:lang w:val="en-GB"/>
        </w:rPr>
        <w:t xml:space="preserve"> (</w:t>
      </w:r>
      <w:r w:rsidRPr="00813E2C">
        <w:rPr>
          <w:rFonts w:ascii="Times New Roman" w:hAnsi="Times New Roman"/>
          <w:i/>
          <w:iCs/>
          <w:sz w:val="24"/>
          <w:szCs w:val="24"/>
          <w:lang w:val="en-GB"/>
        </w:rPr>
        <w:t>argumentum a fortiori</w:t>
      </w:r>
      <w:r w:rsidRPr="00813E2C">
        <w:rPr>
          <w:rFonts w:ascii="Times New Roman" w:hAnsi="Times New Roman"/>
          <w:sz w:val="24"/>
          <w:szCs w:val="24"/>
          <w:lang w:val="en-GB"/>
        </w:rPr>
        <w:t xml:space="preserve"> can be considered as a case of analogical argumentation). Secondly, it maintained that </w:t>
      </w:r>
      <w:r>
        <w:rPr>
          <w:rFonts w:ascii="Times New Roman" w:hAnsi="Times New Roman"/>
          <w:sz w:val="24"/>
          <w:szCs w:val="24"/>
          <w:lang w:val="en-GB"/>
        </w:rPr>
        <w:t>‘</w:t>
      </w:r>
      <w:r w:rsidRPr="00813E2C">
        <w:rPr>
          <w:rFonts w:ascii="Times New Roman" w:hAnsi="Times New Roman"/>
          <w:sz w:val="24"/>
          <w:szCs w:val="24"/>
          <w:lang w:val="en-GB"/>
        </w:rPr>
        <w:t>the conditions under which the State may incur liability … cannot, in the absence of particular justification, differ from those governing the liability of the Community in like circumstances</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31"/>
      </w:r>
    </w:p>
    <w:p w:rsidR="005E6612" w:rsidRPr="00813E2C" w:rsidRDefault="005E6612" w:rsidP="00B27D8E">
      <w:pPr>
        <w:spacing w:line="240" w:lineRule="auto"/>
        <w:jc w:val="both"/>
        <w:rPr>
          <w:rFonts w:ascii="Times New Roman" w:hAnsi="Times New Roman"/>
          <w:sz w:val="24"/>
          <w:szCs w:val="24"/>
          <w:lang w:val="en-GB"/>
        </w:rPr>
      </w:pPr>
      <w:bookmarkStart w:id="1" w:name="_Toc332347991"/>
      <w:r w:rsidRPr="00813E2C">
        <w:rPr>
          <w:rFonts w:ascii="Times New Roman" w:hAnsi="Times New Roman"/>
          <w:sz w:val="24"/>
          <w:szCs w:val="24"/>
          <w:lang w:val="en-GB"/>
        </w:rPr>
        <w:t xml:space="preserve">4. </w:t>
      </w:r>
      <w:r w:rsidRPr="00813E2C">
        <w:rPr>
          <w:rFonts w:ascii="Times New Roman" w:hAnsi="Times New Roman"/>
          <w:i/>
          <w:iCs/>
          <w:sz w:val="24"/>
          <w:szCs w:val="24"/>
          <w:lang w:val="en-GB"/>
        </w:rPr>
        <w:t>Establishing/</w:t>
      </w:r>
      <w:r>
        <w:rPr>
          <w:rFonts w:ascii="Times New Roman" w:hAnsi="Times New Roman"/>
          <w:i/>
          <w:iCs/>
          <w:sz w:val="24"/>
          <w:szCs w:val="24"/>
          <w:lang w:val="en-GB"/>
        </w:rPr>
        <w:t>d</w:t>
      </w:r>
      <w:r w:rsidRPr="00813E2C">
        <w:rPr>
          <w:rFonts w:ascii="Times New Roman" w:hAnsi="Times New Roman"/>
          <w:i/>
          <w:iCs/>
          <w:sz w:val="24"/>
          <w:szCs w:val="24"/>
          <w:lang w:val="en-GB"/>
        </w:rPr>
        <w:t xml:space="preserve">ebating the text of the </w:t>
      </w:r>
      <w:bookmarkEnd w:id="1"/>
      <w:r w:rsidRPr="00813E2C">
        <w:rPr>
          <w:rFonts w:ascii="Times New Roman" w:hAnsi="Times New Roman"/>
          <w:i/>
          <w:iCs/>
          <w:sz w:val="24"/>
          <w:szCs w:val="24"/>
          <w:lang w:val="en-GB"/>
        </w:rPr>
        <w:t>Treaties</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We have not found any argument</w:t>
      </w:r>
      <w:r>
        <w:rPr>
          <w:rFonts w:ascii="Times New Roman" w:hAnsi="Times New Roman"/>
          <w:sz w:val="24"/>
          <w:szCs w:val="24"/>
          <w:lang w:val="en-GB"/>
        </w:rPr>
        <w:t>s</w:t>
      </w:r>
      <w:r w:rsidRPr="00813E2C">
        <w:rPr>
          <w:rFonts w:ascii="Times New Roman" w:hAnsi="Times New Roman"/>
          <w:sz w:val="24"/>
          <w:szCs w:val="24"/>
          <w:lang w:val="en-GB"/>
        </w:rPr>
        <w:t xml:space="preserve"> </w:t>
      </w:r>
      <w:r>
        <w:rPr>
          <w:rFonts w:ascii="Times New Roman" w:hAnsi="Times New Roman"/>
          <w:sz w:val="24"/>
          <w:szCs w:val="24"/>
          <w:lang w:val="en-GB"/>
        </w:rPr>
        <w:t xml:space="preserve">dealing </w:t>
      </w:r>
      <w:r w:rsidRPr="00813E2C">
        <w:rPr>
          <w:rFonts w:ascii="Times New Roman" w:hAnsi="Times New Roman"/>
          <w:sz w:val="24"/>
          <w:szCs w:val="24"/>
          <w:lang w:val="en-GB"/>
        </w:rPr>
        <w:t xml:space="preserve">with </w:t>
      </w:r>
      <w:r>
        <w:rPr>
          <w:rFonts w:ascii="Times New Roman" w:hAnsi="Times New Roman"/>
          <w:sz w:val="24"/>
          <w:szCs w:val="24"/>
          <w:lang w:val="en-GB"/>
        </w:rPr>
        <w:t xml:space="preserve">this kind </w:t>
      </w:r>
      <w:r w:rsidRPr="00813E2C">
        <w:rPr>
          <w:rFonts w:ascii="Times New Roman" w:hAnsi="Times New Roman"/>
          <w:sz w:val="24"/>
          <w:szCs w:val="24"/>
          <w:lang w:val="en-GB"/>
        </w:rPr>
        <w:t xml:space="preserve">of </w:t>
      </w:r>
      <w:r>
        <w:rPr>
          <w:rFonts w:ascii="Times New Roman" w:hAnsi="Times New Roman"/>
          <w:sz w:val="24"/>
          <w:szCs w:val="24"/>
          <w:lang w:val="en-GB"/>
        </w:rPr>
        <w:t>issue</w:t>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bookmarkStart w:id="2" w:name="_Toc332347992"/>
      <w:r w:rsidRPr="00813E2C">
        <w:rPr>
          <w:rFonts w:ascii="Times New Roman" w:hAnsi="Times New Roman"/>
          <w:sz w:val="24"/>
          <w:szCs w:val="24"/>
          <w:lang w:val="en-GB"/>
        </w:rPr>
        <w:t xml:space="preserve">5. </w:t>
      </w:r>
      <w:r w:rsidRPr="00813E2C">
        <w:rPr>
          <w:rFonts w:ascii="Times New Roman" w:hAnsi="Times New Roman"/>
          <w:i/>
          <w:iCs/>
          <w:sz w:val="24"/>
          <w:szCs w:val="24"/>
          <w:lang w:val="en-GB"/>
        </w:rPr>
        <w:t xml:space="preserve">Applicability of the </w:t>
      </w:r>
      <w:bookmarkEnd w:id="2"/>
      <w:r w:rsidRPr="00813E2C">
        <w:rPr>
          <w:rFonts w:ascii="Times New Roman" w:hAnsi="Times New Roman"/>
          <w:i/>
          <w:iCs/>
          <w:sz w:val="24"/>
          <w:szCs w:val="24"/>
          <w:lang w:val="en-GB"/>
        </w:rPr>
        <w:t>Treaties</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It is not surprising that we found no less than </w:t>
      </w:r>
      <w:r>
        <w:rPr>
          <w:rFonts w:ascii="Times New Roman" w:hAnsi="Times New Roman"/>
          <w:sz w:val="24"/>
          <w:szCs w:val="24"/>
          <w:lang w:val="en-GB"/>
        </w:rPr>
        <w:t>one-quarter</w:t>
      </w:r>
      <w:r w:rsidRPr="00813E2C">
        <w:rPr>
          <w:rFonts w:ascii="Times New Roman" w:hAnsi="Times New Roman"/>
          <w:sz w:val="24"/>
          <w:szCs w:val="24"/>
          <w:lang w:val="en-GB"/>
        </w:rPr>
        <w:t xml:space="preserve"> of the </w:t>
      </w:r>
      <w:r>
        <w:rPr>
          <w:rFonts w:ascii="Times New Roman" w:hAnsi="Times New Roman"/>
          <w:sz w:val="24"/>
          <w:szCs w:val="24"/>
          <w:lang w:val="en-GB"/>
        </w:rPr>
        <w:t>judgme</w:t>
      </w:r>
      <w:r w:rsidRPr="00813E2C">
        <w:rPr>
          <w:rFonts w:ascii="Times New Roman" w:hAnsi="Times New Roman"/>
          <w:sz w:val="24"/>
          <w:szCs w:val="24"/>
          <w:lang w:val="en-GB"/>
        </w:rPr>
        <w:t xml:space="preserve">nts of the Sample (11 </w:t>
      </w:r>
      <w:r>
        <w:rPr>
          <w:rFonts w:ascii="Times New Roman" w:hAnsi="Times New Roman"/>
          <w:sz w:val="24"/>
          <w:szCs w:val="24"/>
          <w:lang w:val="en-GB"/>
        </w:rPr>
        <w:t>judgme</w:t>
      </w:r>
      <w:r w:rsidRPr="00813E2C">
        <w:rPr>
          <w:rFonts w:ascii="Times New Roman" w:hAnsi="Times New Roman"/>
          <w:sz w:val="24"/>
          <w:szCs w:val="24"/>
          <w:lang w:val="en-GB"/>
        </w:rPr>
        <w:t>nts precisely) discuss</w:t>
      </w:r>
      <w:r>
        <w:rPr>
          <w:rFonts w:ascii="Times New Roman" w:hAnsi="Times New Roman"/>
          <w:sz w:val="24"/>
          <w:szCs w:val="24"/>
          <w:lang w:val="en-GB"/>
        </w:rPr>
        <w:t xml:space="preserve">ing </w:t>
      </w:r>
      <w:r w:rsidRPr="00813E2C">
        <w:rPr>
          <w:rFonts w:ascii="Times New Roman" w:hAnsi="Times New Roman"/>
          <w:sz w:val="24"/>
          <w:szCs w:val="24"/>
          <w:lang w:val="en-GB"/>
        </w:rPr>
        <w:t>the applicability of the Treaties to the case at hand</w:t>
      </w:r>
      <w:r>
        <w:rPr>
          <w:rFonts w:ascii="Times New Roman" w:hAnsi="Times New Roman"/>
          <w:sz w:val="24"/>
          <w:szCs w:val="24"/>
          <w:lang w:val="en-GB"/>
        </w:rPr>
        <w:t>,</w:t>
      </w:r>
      <w:r w:rsidRPr="00813E2C">
        <w:rPr>
          <w:rFonts w:ascii="Times New Roman" w:hAnsi="Times New Roman"/>
          <w:sz w:val="24"/>
          <w:szCs w:val="24"/>
          <w:lang w:val="en-GB"/>
        </w:rPr>
        <w:t xml:space="preserve"> or </w:t>
      </w:r>
      <w:r>
        <w:rPr>
          <w:rFonts w:ascii="Times New Roman" w:hAnsi="Times New Roman"/>
          <w:sz w:val="24"/>
          <w:szCs w:val="24"/>
          <w:lang w:val="en-GB"/>
        </w:rPr>
        <w:t xml:space="preserve">ruling </w:t>
      </w:r>
      <w:r w:rsidRPr="00813E2C">
        <w:rPr>
          <w:rFonts w:ascii="Times New Roman" w:hAnsi="Times New Roman"/>
          <w:sz w:val="24"/>
          <w:szCs w:val="24"/>
          <w:lang w:val="en-GB"/>
        </w:rPr>
        <w:t>on the matter without providing explicit argument</w:t>
      </w:r>
      <w:r>
        <w:rPr>
          <w:rFonts w:ascii="Times New Roman" w:hAnsi="Times New Roman"/>
          <w:sz w:val="24"/>
          <w:szCs w:val="24"/>
          <w:lang w:val="en-GB"/>
        </w:rPr>
        <w:t>s</w:t>
      </w:r>
      <w:r w:rsidRPr="00813E2C">
        <w:rPr>
          <w:rFonts w:ascii="Times New Roman" w:hAnsi="Times New Roman"/>
          <w:sz w:val="24"/>
          <w:szCs w:val="24"/>
          <w:lang w:val="en-GB"/>
        </w:rPr>
        <w:t xml:space="preserve">. The competences of the EU are governed by the principle of </w:t>
      </w:r>
      <w:r>
        <w:rPr>
          <w:rFonts w:ascii="Times New Roman" w:hAnsi="Times New Roman"/>
          <w:sz w:val="24"/>
          <w:szCs w:val="24"/>
          <w:lang w:val="en-GB"/>
        </w:rPr>
        <w:t>conferral and t</w:t>
      </w:r>
      <w:r w:rsidRPr="00813E2C">
        <w:rPr>
          <w:rFonts w:ascii="Times New Roman" w:hAnsi="Times New Roman"/>
          <w:sz w:val="24"/>
          <w:szCs w:val="24"/>
          <w:lang w:val="en-GB"/>
        </w:rPr>
        <w:t xml:space="preserve">he EU legal order is a sectional legal order that does not claim to be complete in the sense of providing a solution for every possible controversy: certain matters fall outside the scope of EU law. Therefore, the issue of the applicability of the Treaties is quite common in EU law litigation. On the one </w:t>
      </w:r>
      <w:r>
        <w:rPr>
          <w:rFonts w:ascii="Times New Roman" w:hAnsi="Times New Roman"/>
          <w:sz w:val="24"/>
          <w:szCs w:val="24"/>
          <w:lang w:val="en-GB"/>
        </w:rPr>
        <w:t>hand</w:t>
      </w:r>
      <w:r w:rsidRPr="00813E2C">
        <w:rPr>
          <w:rFonts w:ascii="Times New Roman" w:hAnsi="Times New Roman"/>
          <w:sz w:val="24"/>
          <w:szCs w:val="24"/>
          <w:lang w:val="en-GB"/>
        </w:rPr>
        <w:t>, the so</w:t>
      </w:r>
      <w:r>
        <w:rPr>
          <w:rFonts w:ascii="Times New Roman" w:hAnsi="Times New Roman"/>
          <w:sz w:val="24"/>
          <w:szCs w:val="24"/>
          <w:lang w:val="en-GB"/>
        </w:rPr>
        <w:t>-</w:t>
      </w:r>
      <w:r w:rsidRPr="00813E2C">
        <w:rPr>
          <w:rFonts w:ascii="Times New Roman" w:hAnsi="Times New Roman"/>
          <w:sz w:val="24"/>
          <w:szCs w:val="24"/>
          <w:lang w:val="en-GB"/>
        </w:rPr>
        <w:t xml:space="preserve">called </w:t>
      </w:r>
      <w:r>
        <w:rPr>
          <w:rFonts w:ascii="Times New Roman" w:hAnsi="Times New Roman"/>
          <w:sz w:val="24"/>
          <w:szCs w:val="24"/>
          <w:lang w:val="en-GB"/>
        </w:rPr>
        <w:t>‘</w:t>
      </w:r>
      <w:r w:rsidRPr="00813E2C">
        <w:rPr>
          <w:rFonts w:ascii="Times New Roman" w:hAnsi="Times New Roman"/>
          <w:sz w:val="24"/>
          <w:szCs w:val="24"/>
          <w:lang w:val="en-GB"/>
        </w:rPr>
        <w:t>vertical</w:t>
      </w:r>
      <w:r>
        <w:rPr>
          <w:rFonts w:ascii="Times New Roman" w:hAnsi="Times New Roman"/>
          <w:sz w:val="24"/>
          <w:szCs w:val="24"/>
          <w:lang w:val="en-GB"/>
        </w:rPr>
        <w:t>’</w:t>
      </w:r>
      <w:r w:rsidRPr="00813E2C">
        <w:rPr>
          <w:rFonts w:ascii="Times New Roman" w:hAnsi="Times New Roman"/>
          <w:sz w:val="24"/>
          <w:szCs w:val="24"/>
          <w:lang w:val="en-GB"/>
        </w:rPr>
        <w:t xml:space="preserve"> distribution of competences between the EU and the Member States is </w:t>
      </w:r>
      <w:r>
        <w:rPr>
          <w:rFonts w:ascii="Times New Roman" w:hAnsi="Times New Roman"/>
          <w:sz w:val="24"/>
          <w:szCs w:val="24"/>
          <w:lang w:val="en-GB"/>
        </w:rPr>
        <w:t xml:space="preserve">an </w:t>
      </w:r>
      <w:r w:rsidRPr="00813E2C">
        <w:rPr>
          <w:rFonts w:ascii="Times New Roman" w:hAnsi="Times New Roman"/>
          <w:sz w:val="24"/>
          <w:szCs w:val="24"/>
          <w:lang w:val="en-GB"/>
        </w:rPr>
        <w:t xml:space="preserve">object of frequent controversies upon which the Court may be called to adjudicate; on the other </w:t>
      </w:r>
      <w:r>
        <w:rPr>
          <w:rFonts w:ascii="Times New Roman" w:hAnsi="Times New Roman"/>
          <w:sz w:val="24"/>
          <w:szCs w:val="24"/>
          <w:lang w:val="en-GB"/>
        </w:rPr>
        <w:t>hand</w:t>
      </w:r>
      <w:r w:rsidRPr="00813E2C">
        <w:rPr>
          <w:rFonts w:ascii="Times New Roman" w:hAnsi="Times New Roman"/>
          <w:sz w:val="24"/>
          <w:szCs w:val="24"/>
          <w:lang w:val="en-GB"/>
        </w:rPr>
        <w:t xml:space="preserve">, in almost every legal proceeding before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the referring court, the private parties or the intervening Member States may find it appropriate to raise the question whether the matter falls within the province of EU law and challenge the jurisdiction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or the competence of the EU. </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In all cases except one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ruled that the issue of the case did not fall outside the scope of EU law</w:t>
      </w:r>
      <w:r>
        <w:rPr>
          <w:rFonts w:ascii="Times New Roman" w:hAnsi="Times New Roman"/>
          <w:sz w:val="24"/>
          <w:szCs w:val="24"/>
          <w:lang w:val="en-GB"/>
        </w:rPr>
        <w:t>.</w:t>
      </w:r>
      <w:r>
        <w:rPr>
          <w:rStyle w:val="Rimandonotaapidipagina"/>
          <w:rFonts w:ascii="Times New Roman" w:hAnsi="Times New Roman"/>
          <w:sz w:val="24"/>
          <w:szCs w:val="24"/>
          <w:lang w:val="en-GB"/>
        </w:rPr>
        <w:footnoteReference w:id="32"/>
      </w:r>
      <w:r w:rsidRPr="00813E2C">
        <w:rPr>
          <w:rFonts w:ascii="Times New Roman" w:hAnsi="Times New Roman"/>
          <w:sz w:val="24"/>
          <w:szCs w:val="24"/>
          <w:lang w:val="en-GB"/>
        </w:rPr>
        <w:t xml:space="preserve"> </w:t>
      </w:r>
      <w:r>
        <w:rPr>
          <w:rFonts w:ascii="Times New Roman" w:hAnsi="Times New Roman"/>
          <w:sz w:val="24"/>
          <w:szCs w:val="24"/>
          <w:lang w:val="en-GB"/>
        </w:rPr>
        <w:t>The arguments supporting that</w:t>
      </w:r>
      <w:r w:rsidRPr="00813E2C">
        <w:rPr>
          <w:rFonts w:ascii="Times New Roman" w:hAnsi="Times New Roman"/>
          <w:sz w:val="24"/>
          <w:szCs w:val="24"/>
          <w:lang w:val="en-GB"/>
        </w:rPr>
        <w:t xml:space="preserve"> conclusion do not share any structural feature</w:t>
      </w:r>
      <w:r>
        <w:rPr>
          <w:rFonts w:ascii="Times New Roman" w:hAnsi="Times New Roman"/>
          <w:sz w:val="24"/>
          <w:szCs w:val="24"/>
          <w:lang w:val="en-GB"/>
        </w:rPr>
        <w:t>s</w:t>
      </w:r>
      <w:r w:rsidRPr="00813E2C">
        <w:rPr>
          <w:rFonts w:ascii="Times New Roman" w:hAnsi="Times New Roman"/>
          <w:sz w:val="24"/>
          <w:szCs w:val="24"/>
          <w:lang w:val="en-GB"/>
        </w:rPr>
        <w:t xml:space="preserve"> and can be very diverse among themselves – teleological considerations, harmonisation arguments, implicit principles, and so on. However, in the case law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w:t>
      </w:r>
      <w:r>
        <w:rPr>
          <w:rFonts w:ascii="Times New Roman" w:hAnsi="Times New Roman"/>
          <w:sz w:val="24"/>
          <w:szCs w:val="24"/>
          <w:lang w:val="en-GB"/>
        </w:rPr>
        <w:t xml:space="preserve">there is </w:t>
      </w:r>
      <w:r w:rsidRPr="00813E2C">
        <w:rPr>
          <w:rFonts w:ascii="Times New Roman" w:hAnsi="Times New Roman"/>
          <w:sz w:val="24"/>
          <w:szCs w:val="24"/>
          <w:lang w:val="en-GB"/>
        </w:rPr>
        <w:t>one peculiar way of supporting the decision favourable to the applicability of the Treaties</w:t>
      </w:r>
      <w:r>
        <w:rPr>
          <w:rFonts w:ascii="Times New Roman" w:hAnsi="Times New Roman"/>
          <w:sz w:val="24"/>
          <w:szCs w:val="24"/>
          <w:lang w:val="en-GB"/>
        </w:rPr>
        <w:t xml:space="preserve">, </w:t>
      </w:r>
      <w:r w:rsidRPr="00813E2C">
        <w:rPr>
          <w:rFonts w:ascii="Times New Roman" w:hAnsi="Times New Roman"/>
          <w:sz w:val="24"/>
          <w:szCs w:val="24"/>
          <w:lang w:val="en-GB"/>
        </w:rPr>
        <w:t xml:space="preserve">a traditional argument that </w:t>
      </w:r>
      <w:r>
        <w:rPr>
          <w:rFonts w:ascii="Times New Roman" w:hAnsi="Times New Roman"/>
          <w:sz w:val="24"/>
          <w:szCs w:val="24"/>
          <w:lang w:val="en-GB"/>
        </w:rPr>
        <w:t>Loïc Azoulai calls ‘</w:t>
      </w:r>
      <w:r w:rsidRPr="00813E2C">
        <w:rPr>
          <w:rFonts w:ascii="Times New Roman" w:hAnsi="Times New Roman"/>
          <w:sz w:val="24"/>
          <w:szCs w:val="24"/>
          <w:lang w:val="en-GB"/>
        </w:rPr>
        <w:t>retained powers formula</w:t>
      </w:r>
      <w:r>
        <w:rPr>
          <w:rFonts w:ascii="Times New Roman" w:hAnsi="Times New Roman"/>
          <w:sz w:val="24"/>
          <w:szCs w:val="24"/>
          <w:lang w:val="en-GB"/>
        </w:rPr>
        <w:t>’</w:t>
      </w:r>
      <w:r w:rsidRPr="00813E2C">
        <w:rPr>
          <w:rFonts w:ascii="Times New Roman" w:hAnsi="Times New Roman"/>
          <w:sz w:val="24"/>
          <w:szCs w:val="24"/>
          <w:lang w:val="en-GB"/>
        </w:rPr>
        <w:t xml:space="preserve"> and that is virtually capable of eliminating or overcoming every positive limit to the applicability of EU law</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33"/>
      </w:r>
      <w:r w:rsidRPr="00813E2C">
        <w:rPr>
          <w:rFonts w:ascii="Times New Roman" w:hAnsi="Times New Roman"/>
          <w:sz w:val="24"/>
          <w:szCs w:val="24"/>
          <w:lang w:val="en-GB"/>
        </w:rPr>
        <w:t xml:space="preserve"> While the classical formulation of this doctrine can be found in the </w:t>
      </w:r>
      <w:r w:rsidRPr="00813E2C">
        <w:rPr>
          <w:rFonts w:ascii="Times New Roman" w:hAnsi="Times New Roman"/>
          <w:i/>
          <w:iCs/>
          <w:sz w:val="24"/>
          <w:szCs w:val="24"/>
          <w:lang w:val="en-GB"/>
        </w:rPr>
        <w:t xml:space="preserve">Schumacker </w:t>
      </w:r>
      <w:r w:rsidRPr="00813E2C">
        <w:rPr>
          <w:rFonts w:ascii="Times New Roman" w:hAnsi="Times New Roman"/>
          <w:sz w:val="24"/>
          <w:szCs w:val="24"/>
          <w:lang w:val="en-GB"/>
        </w:rPr>
        <w:t xml:space="preserve">(1995) case and in the </w:t>
      </w:r>
      <w:r>
        <w:rPr>
          <w:rFonts w:ascii="Times New Roman" w:hAnsi="Times New Roman"/>
          <w:sz w:val="24"/>
          <w:szCs w:val="24"/>
          <w:lang w:val="en-GB"/>
        </w:rPr>
        <w:t>‘</w:t>
      </w:r>
      <w:r w:rsidRPr="00813E2C">
        <w:rPr>
          <w:rFonts w:ascii="Times New Roman" w:hAnsi="Times New Roman"/>
          <w:sz w:val="24"/>
          <w:szCs w:val="24"/>
          <w:lang w:val="en-GB"/>
        </w:rPr>
        <w:t>British fishing vessels</w:t>
      </w:r>
      <w:r>
        <w:rPr>
          <w:rFonts w:ascii="Times New Roman" w:hAnsi="Times New Roman"/>
          <w:sz w:val="24"/>
          <w:szCs w:val="24"/>
          <w:lang w:val="en-GB"/>
        </w:rPr>
        <w:t>’</w:t>
      </w:r>
      <w:r w:rsidRPr="00813E2C">
        <w:rPr>
          <w:rFonts w:ascii="Times New Roman" w:hAnsi="Times New Roman"/>
          <w:sz w:val="24"/>
          <w:szCs w:val="24"/>
          <w:lang w:val="en-GB"/>
        </w:rPr>
        <w:t xml:space="preserve"> case</w:t>
      </w:r>
      <w:r w:rsidRPr="00813E2C">
        <w:rPr>
          <w:rFonts w:ascii="Times New Roman" w:hAnsi="Times New Roman"/>
          <w:i/>
          <w:iCs/>
          <w:sz w:val="24"/>
          <w:szCs w:val="24"/>
          <w:lang w:val="en-GB"/>
        </w:rPr>
        <w:t xml:space="preserve"> </w:t>
      </w:r>
      <w:r w:rsidRPr="00813E2C">
        <w:rPr>
          <w:rFonts w:ascii="Times New Roman" w:hAnsi="Times New Roman"/>
          <w:sz w:val="24"/>
          <w:szCs w:val="24"/>
          <w:lang w:val="en-GB"/>
        </w:rPr>
        <w:t xml:space="preserve">of </w:t>
      </w:r>
      <w:r w:rsidRPr="00813E2C">
        <w:rPr>
          <w:rFonts w:ascii="Times New Roman" w:hAnsi="Times New Roman"/>
          <w:sz w:val="24"/>
          <w:szCs w:val="24"/>
          <w:lang w:val="en-GB"/>
        </w:rPr>
        <w:lastRenderedPageBreak/>
        <w:t>1991</w:t>
      </w:r>
      <w:r w:rsidRPr="00813E2C">
        <w:rPr>
          <w:rStyle w:val="Rimandonotaapidipagina"/>
          <w:rFonts w:ascii="Times New Roman" w:hAnsi="Times New Roman"/>
          <w:sz w:val="24"/>
          <w:szCs w:val="24"/>
          <w:lang w:val="en-GB"/>
        </w:rPr>
        <w:footnoteReference w:id="34"/>
      </w:r>
      <w:r w:rsidRPr="00813E2C">
        <w:rPr>
          <w:rFonts w:ascii="Times New Roman" w:hAnsi="Times New Roman"/>
          <w:sz w:val="24"/>
          <w:szCs w:val="24"/>
          <w:lang w:val="en-GB"/>
        </w:rPr>
        <w:t xml:space="preserve"> and its origins can be traced back to the </w:t>
      </w:r>
      <w:r w:rsidRPr="00813E2C">
        <w:rPr>
          <w:rFonts w:ascii="Times New Roman" w:hAnsi="Times New Roman"/>
          <w:i/>
          <w:iCs/>
          <w:sz w:val="24"/>
          <w:szCs w:val="24"/>
          <w:lang w:val="en-GB"/>
        </w:rPr>
        <w:t xml:space="preserve">Steenkolenmijnen </w:t>
      </w:r>
      <w:r w:rsidRPr="00813E2C">
        <w:rPr>
          <w:rFonts w:ascii="Times New Roman" w:hAnsi="Times New Roman"/>
          <w:sz w:val="24"/>
          <w:szCs w:val="24"/>
          <w:lang w:val="en-GB"/>
        </w:rPr>
        <w:t xml:space="preserve">(1961) and </w:t>
      </w:r>
      <w:r w:rsidRPr="00813E2C">
        <w:rPr>
          <w:rFonts w:ascii="Times New Roman" w:hAnsi="Times New Roman"/>
          <w:i/>
          <w:iCs/>
          <w:sz w:val="24"/>
          <w:szCs w:val="24"/>
          <w:lang w:val="en-GB"/>
        </w:rPr>
        <w:t xml:space="preserve">Casagrande </w:t>
      </w:r>
      <w:r w:rsidRPr="00813E2C">
        <w:rPr>
          <w:rFonts w:ascii="Times New Roman" w:hAnsi="Times New Roman"/>
          <w:sz w:val="24"/>
          <w:szCs w:val="24"/>
          <w:lang w:val="en-GB"/>
        </w:rPr>
        <w:t>(1974) cases</w:t>
      </w:r>
      <w:r w:rsidRPr="00813E2C">
        <w:rPr>
          <w:rStyle w:val="Rimandonotaapidipagina"/>
          <w:rFonts w:ascii="Times New Roman" w:hAnsi="Times New Roman"/>
          <w:sz w:val="24"/>
          <w:szCs w:val="24"/>
          <w:lang w:val="en-GB"/>
        </w:rPr>
        <w:footnoteReference w:id="35"/>
      </w:r>
      <w:r w:rsidRPr="00813E2C">
        <w:rPr>
          <w:rFonts w:ascii="Times New Roman" w:hAnsi="Times New Roman"/>
          <w:sz w:val="24"/>
          <w:szCs w:val="24"/>
          <w:lang w:val="en-GB"/>
        </w:rPr>
        <w:t xml:space="preserve"> (decisions not included in the Sample), in our study we found </w:t>
      </w:r>
      <w:r>
        <w:rPr>
          <w:rFonts w:ascii="Times New Roman" w:hAnsi="Times New Roman"/>
          <w:sz w:val="24"/>
          <w:szCs w:val="24"/>
          <w:lang w:val="en-GB"/>
        </w:rPr>
        <w:t xml:space="preserve">it </w:t>
      </w:r>
      <w:r w:rsidRPr="00813E2C">
        <w:rPr>
          <w:rFonts w:ascii="Times New Roman" w:hAnsi="Times New Roman"/>
          <w:sz w:val="24"/>
          <w:szCs w:val="24"/>
          <w:lang w:val="en-GB"/>
        </w:rPr>
        <w:t xml:space="preserve">in </w:t>
      </w:r>
      <w:r w:rsidRPr="00813E2C">
        <w:rPr>
          <w:rFonts w:ascii="Times New Roman" w:hAnsi="Times New Roman"/>
          <w:i/>
          <w:iCs/>
          <w:sz w:val="24"/>
          <w:szCs w:val="24"/>
          <w:lang w:val="en-GB"/>
        </w:rPr>
        <w:t>Viking</w:t>
      </w:r>
      <w:r w:rsidRPr="00813E2C">
        <w:rPr>
          <w:rFonts w:ascii="Times New Roman" w:hAnsi="Times New Roman"/>
          <w:sz w:val="24"/>
          <w:szCs w:val="24"/>
          <w:lang w:val="en-GB"/>
        </w:rPr>
        <w:t xml:space="preserve"> (2007): </w:t>
      </w:r>
    </w:p>
    <w:p w:rsidR="005E6612" w:rsidRPr="00EF6CFD" w:rsidRDefault="005E6612" w:rsidP="00B27D8E">
      <w:pPr>
        <w:spacing w:line="240" w:lineRule="auto"/>
        <w:ind w:left="705"/>
        <w:jc w:val="both"/>
        <w:rPr>
          <w:rFonts w:ascii="Times New Roman" w:hAnsi="Times New Roman"/>
          <w:sz w:val="20"/>
          <w:szCs w:val="20"/>
          <w:lang w:val="en-GB"/>
        </w:rPr>
      </w:pPr>
      <w:r w:rsidRPr="00EF6CFD">
        <w:rPr>
          <w:rFonts w:ascii="Times New Roman" w:hAnsi="Times New Roman"/>
          <w:sz w:val="20"/>
          <w:szCs w:val="20"/>
          <w:lang w:val="en-GB"/>
        </w:rPr>
        <w:t>even if, in the areas which fall outside the scope of the Community’s competence, the Member States are still free, in principle, to lay down the conditions governing the existence and exercise of the rights in question, the fact remains that, when exercising that competence, the Member States must nevertheless comply with Community law.</w:t>
      </w:r>
      <w:r w:rsidRPr="00EF6CFD">
        <w:rPr>
          <w:rStyle w:val="Rimandonotaapidipagina"/>
          <w:rFonts w:ascii="Times New Roman" w:hAnsi="Times New Roman"/>
          <w:sz w:val="20"/>
          <w:szCs w:val="20"/>
          <w:lang w:val="en-GB"/>
        </w:rPr>
        <w:footnoteReference w:id="36"/>
      </w:r>
    </w:p>
    <w:p w:rsidR="005E6612" w:rsidRPr="00813E2C" w:rsidRDefault="005E6612" w:rsidP="00B27D8E">
      <w:pPr>
        <w:spacing w:line="240" w:lineRule="auto"/>
        <w:jc w:val="both"/>
        <w:rPr>
          <w:rFonts w:ascii="Times New Roman" w:hAnsi="Times New Roman"/>
          <w:i/>
          <w:iCs/>
          <w:sz w:val="24"/>
          <w:szCs w:val="24"/>
          <w:lang w:val="en-GB"/>
        </w:rPr>
      </w:pPr>
      <w:bookmarkStart w:id="3" w:name="_Toc332347993"/>
      <w:r w:rsidRPr="00813E2C">
        <w:rPr>
          <w:rFonts w:ascii="Times New Roman" w:hAnsi="Times New Roman"/>
          <w:sz w:val="24"/>
          <w:szCs w:val="24"/>
          <w:lang w:val="en-GB"/>
        </w:rPr>
        <w:t xml:space="preserve">6. </w:t>
      </w:r>
      <w:r w:rsidRPr="00813E2C">
        <w:rPr>
          <w:rFonts w:ascii="Times New Roman" w:hAnsi="Times New Roman"/>
          <w:i/>
          <w:iCs/>
          <w:sz w:val="24"/>
          <w:szCs w:val="24"/>
          <w:lang w:val="en-GB"/>
        </w:rPr>
        <w:t>Ordinary meaning of the words</w:t>
      </w:r>
      <w:bookmarkEnd w:id="3"/>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We found</w:t>
      </w:r>
      <w:r>
        <w:rPr>
          <w:rFonts w:ascii="Times New Roman" w:hAnsi="Times New Roman"/>
          <w:sz w:val="24"/>
          <w:szCs w:val="24"/>
          <w:lang w:val="en-GB"/>
        </w:rPr>
        <w:t xml:space="preserve"> only</w:t>
      </w:r>
      <w:r w:rsidRPr="00813E2C">
        <w:rPr>
          <w:rFonts w:ascii="Times New Roman" w:hAnsi="Times New Roman"/>
          <w:sz w:val="24"/>
          <w:szCs w:val="24"/>
          <w:lang w:val="en-GB"/>
        </w:rPr>
        <w:t xml:space="preserve"> </w:t>
      </w:r>
      <w:r w:rsidRPr="00EF6CFD">
        <w:rPr>
          <w:rFonts w:ascii="Times New Roman" w:hAnsi="Times New Roman"/>
          <w:sz w:val="24"/>
          <w:szCs w:val="24"/>
          <w:lang w:val="en-GB"/>
        </w:rPr>
        <w:t>six judgments</w:t>
      </w:r>
      <w:r>
        <w:rPr>
          <w:rFonts w:ascii="Times New Roman" w:hAnsi="Times New Roman"/>
          <w:sz w:val="24"/>
          <w:szCs w:val="24"/>
          <w:lang w:val="en-GB"/>
        </w:rPr>
        <w:t xml:space="preserve"> </w:t>
      </w:r>
      <w:r w:rsidRPr="00813E2C">
        <w:rPr>
          <w:rFonts w:ascii="Times New Roman" w:hAnsi="Times New Roman"/>
          <w:sz w:val="24"/>
          <w:szCs w:val="24"/>
          <w:lang w:val="en-GB"/>
        </w:rPr>
        <w:t>in which reference to the wording of the Treaty was made in order to provide an argument in favour or against a certain interpretation of the</w:t>
      </w:r>
      <w:r>
        <w:rPr>
          <w:rFonts w:ascii="Times New Roman" w:hAnsi="Times New Roman"/>
          <w:sz w:val="24"/>
          <w:szCs w:val="24"/>
          <w:lang w:val="en-GB"/>
        </w:rPr>
        <w:t xml:space="preserve"> Treaty, and i</w:t>
      </w:r>
      <w:r w:rsidRPr="00813E2C">
        <w:rPr>
          <w:rFonts w:ascii="Times New Roman" w:hAnsi="Times New Roman"/>
          <w:sz w:val="24"/>
          <w:szCs w:val="24"/>
          <w:lang w:val="en-GB"/>
        </w:rPr>
        <w:t xml:space="preserve">n three </w:t>
      </w:r>
      <w:r>
        <w:rPr>
          <w:rFonts w:ascii="Times New Roman" w:hAnsi="Times New Roman"/>
          <w:sz w:val="24"/>
          <w:szCs w:val="24"/>
          <w:lang w:val="en-GB"/>
        </w:rPr>
        <w:t xml:space="preserve">of them </w:t>
      </w:r>
      <w:r w:rsidRPr="00813E2C">
        <w:rPr>
          <w:rFonts w:ascii="Times New Roman" w:hAnsi="Times New Roman"/>
          <w:sz w:val="24"/>
          <w:szCs w:val="24"/>
          <w:lang w:val="en-GB"/>
        </w:rPr>
        <w:t>the literal argument was taken into consideration and ultimately rejected by the Court on the basis of prevailing teleological and harmonising considerations</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37"/>
      </w:r>
      <w:r w:rsidRPr="00813E2C">
        <w:rPr>
          <w:rFonts w:ascii="Times New Roman" w:hAnsi="Times New Roman"/>
          <w:sz w:val="24"/>
          <w:szCs w:val="24"/>
          <w:lang w:val="en-GB"/>
        </w:rPr>
        <w:t xml:space="preserve"> </w:t>
      </w:r>
    </w:p>
    <w:p w:rsidR="005E6612"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A</w:t>
      </w:r>
      <w:r w:rsidRPr="00813E2C">
        <w:rPr>
          <w:rFonts w:ascii="Times New Roman" w:hAnsi="Times New Roman"/>
          <w:sz w:val="24"/>
          <w:szCs w:val="24"/>
          <w:lang w:val="en-GB"/>
        </w:rPr>
        <w:t xml:space="preserve">ccording to many scholars and critics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the relative unimportance of text-based arguments is a </w:t>
      </w:r>
      <w:r>
        <w:rPr>
          <w:rFonts w:ascii="Times New Roman" w:hAnsi="Times New Roman"/>
          <w:sz w:val="24"/>
          <w:szCs w:val="24"/>
          <w:lang w:val="en-GB"/>
        </w:rPr>
        <w:t xml:space="preserve">remarkable </w:t>
      </w:r>
      <w:r w:rsidRPr="00813E2C">
        <w:rPr>
          <w:rFonts w:ascii="Times New Roman" w:hAnsi="Times New Roman"/>
          <w:sz w:val="24"/>
          <w:szCs w:val="24"/>
          <w:lang w:val="en-GB"/>
        </w:rPr>
        <w:t xml:space="preserve">feature of the legal reasoning of the </w:t>
      </w:r>
      <w:r w:rsidRPr="003D634E">
        <w:rPr>
          <w:rFonts w:ascii="Times New Roman" w:hAnsi="Times New Roman"/>
          <w:sz w:val="24"/>
          <w:szCs w:val="24"/>
          <w:lang w:val="en-GB"/>
        </w:rPr>
        <w:t>Court of Justice</w:t>
      </w:r>
      <w:r>
        <w:rPr>
          <w:rFonts w:ascii="Times New Roman" w:hAnsi="Times New Roman"/>
          <w:sz w:val="24"/>
          <w:szCs w:val="24"/>
          <w:lang w:val="en-GB"/>
        </w:rPr>
        <w:t xml:space="preserve"> that can be </w:t>
      </w:r>
      <w:r w:rsidRPr="00813E2C">
        <w:rPr>
          <w:rFonts w:ascii="Times New Roman" w:hAnsi="Times New Roman"/>
          <w:sz w:val="24"/>
          <w:szCs w:val="24"/>
          <w:lang w:val="en-GB"/>
        </w:rPr>
        <w:t xml:space="preserve">found </w:t>
      </w:r>
      <w:r>
        <w:rPr>
          <w:rFonts w:ascii="Times New Roman" w:hAnsi="Times New Roman"/>
          <w:sz w:val="24"/>
          <w:szCs w:val="24"/>
          <w:lang w:val="en-GB"/>
        </w:rPr>
        <w:t xml:space="preserve">also </w:t>
      </w:r>
      <w:r w:rsidRPr="00813E2C">
        <w:rPr>
          <w:rFonts w:ascii="Times New Roman" w:hAnsi="Times New Roman"/>
          <w:sz w:val="24"/>
          <w:szCs w:val="24"/>
          <w:lang w:val="en-GB"/>
        </w:rPr>
        <w:t xml:space="preserve">in </w:t>
      </w:r>
      <w:r>
        <w:rPr>
          <w:rFonts w:ascii="Times New Roman" w:hAnsi="Times New Roman"/>
          <w:sz w:val="24"/>
          <w:szCs w:val="24"/>
          <w:lang w:val="en-GB"/>
        </w:rPr>
        <w:t xml:space="preserve">its </w:t>
      </w:r>
      <w:r w:rsidRPr="00813E2C">
        <w:rPr>
          <w:rFonts w:ascii="Times New Roman" w:hAnsi="Times New Roman"/>
          <w:sz w:val="24"/>
          <w:szCs w:val="24"/>
          <w:lang w:val="en-GB"/>
        </w:rPr>
        <w:t xml:space="preserve">less </w:t>
      </w:r>
      <w:r>
        <w:rPr>
          <w:rFonts w:ascii="Times New Roman" w:hAnsi="Times New Roman"/>
          <w:sz w:val="24"/>
          <w:szCs w:val="24"/>
          <w:lang w:val="en-GB"/>
        </w:rPr>
        <w:t>important, judgme</w:t>
      </w:r>
      <w:r w:rsidRPr="00813E2C">
        <w:rPr>
          <w:rFonts w:ascii="Times New Roman" w:hAnsi="Times New Roman"/>
          <w:sz w:val="24"/>
          <w:szCs w:val="24"/>
          <w:lang w:val="en-GB"/>
        </w:rPr>
        <w:t>nts</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38"/>
      </w:r>
      <w:r>
        <w:rPr>
          <w:rFonts w:ascii="Times New Roman" w:hAnsi="Times New Roman"/>
          <w:sz w:val="24"/>
          <w:szCs w:val="24"/>
          <w:lang w:val="en-GB"/>
        </w:rPr>
        <w:t xml:space="preserve"> However, g</w:t>
      </w:r>
      <w:r w:rsidRPr="00813E2C">
        <w:rPr>
          <w:rFonts w:ascii="Times New Roman" w:hAnsi="Times New Roman"/>
          <w:sz w:val="24"/>
          <w:szCs w:val="24"/>
          <w:lang w:val="en-GB"/>
        </w:rPr>
        <w:t xml:space="preserve">iven the nature of the </w:t>
      </w:r>
      <w:r>
        <w:rPr>
          <w:rFonts w:ascii="Times New Roman" w:hAnsi="Times New Roman"/>
          <w:sz w:val="24"/>
          <w:szCs w:val="24"/>
          <w:lang w:val="en-GB"/>
        </w:rPr>
        <w:t>S</w:t>
      </w:r>
      <w:r w:rsidRPr="00813E2C">
        <w:rPr>
          <w:rFonts w:ascii="Times New Roman" w:hAnsi="Times New Roman"/>
          <w:sz w:val="24"/>
          <w:szCs w:val="24"/>
          <w:lang w:val="en-GB"/>
        </w:rPr>
        <w:t>ample analysed by the research, the significance of thi</w:t>
      </w:r>
      <w:r>
        <w:rPr>
          <w:rFonts w:ascii="Times New Roman" w:hAnsi="Times New Roman"/>
          <w:sz w:val="24"/>
          <w:szCs w:val="24"/>
          <w:lang w:val="en-GB"/>
        </w:rPr>
        <w:t>s finding cannot be emphasised. T</w:t>
      </w:r>
      <w:r w:rsidRPr="00813E2C">
        <w:rPr>
          <w:rFonts w:ascii="Times New Roman" w:hAnsi="Times New Roman"/>
          <w:sz w:val="24"/>
          <w:szCs w:val="24"/>
          <w:lang w:val="en-GB"/>
        </w:rPr>
        <w:t xml:space="preserve">he </w:t>
      </w:r>
      <w:r>
        <w:rPr>
          <w:rFonts w:ascii="Times New Roman" w:hAnsi="Times New Roman"/>
          <w:sz w:val="24"/>
          <w:szCs w:val="24"/>
          <w:lang w:val="en-GB"/>
        </w:rPr>
        <w:t>40</w:t>
      </w:r>
      <w:r w:rsidRPr="00813E2C">
        <w:rPr>
          <w:rFonts w:ascii="Times New Roman" w:hAnsi="Times New Roman"/>
          <w:sz w:val="24"/>
          <w:szCs w:val="24"/>
          <w:lang w:val="en-GB"/>
        </w:rPr>
        <w:t xml:space="preserve"> </w:t>
      </w:r>
      <w:r>
        <w:rPr>
          <w:rFonts w:ascii="Times New Roman" w:hAnsi="Times New Roman"/>
          <w:sz w:val="24"/>
          <w:szCs w:val="24"/>
          <w:lang w:val="en-GB"/>
        </w:rPr>
        <w:t>judgme</w:t>
      </w:r>
      <w:r w:rsidRPr="00813E2C">
        <w:rPr>
          <w:rFonts w:ascii="Times New Roman" w:hAnsi="Times New Roman"/>
          <w:sz w:val="24"/>
          <w:szCs w:val="24"/>
          <w:lang w:val="en-GB"/>
        </w:rPr>
        <w:t xml:space="preserve">nts </w:t>
      </w:r>
      <w:r>
        <w:rPr>
          <w:rFonts w:ascii="Times New Roman" w:hAnsi="Times New Roman"/>
          <w:sz w:val="24"/>
          <w:szCs w:val="24"/>
          <w:lang w:val="en-GB"/>
        </w:rPr>
        <w:t xml:space="preserve">of the Sample </w:t>
      </w:r>
      <w:r w:rsidRPr="00813E2C">
        <w:rPr>
          <w:rFonts w:ascii="Times New Roman" w:hAnsi="Times New Roman"/>
          <w:sz w:val="24"/>
          <w:szCs w:val="24"/>
          <w:lang w:val="en-GB"/>
        </w:rPr>
        <w:t xml:space="preserve">were </w:t>
      </w:r>
      <w:r>
        <w:rPr>
          <w:rFonts w:ascii="Times New Roman" w:hAnsi="Times New Roman"/>
          <w:sz w:val="24"/>
          <w:szCs w:val="24"/>
          <w:lang w:val="en-GB"/>
        </w:rPr>
        <w:t>selected</w:t>
      </w:r>
      <w:r w:rsidRPr="00813E2C">
        <w:rPr>
          <w:rFonts w:ascii="Times New Roman" w:hAnsi="Times New Roman"/>
          <w:sz w:val="24"/>
          <w:szCs w:val="24"/>
          <w:lang w:val="en-GB"/>
        </w:rPr>
        <w:t xml:space="preserve"> because of their impact on the legal culture of the Member States (e.g. </w:t>
      </w:r>
      <w:r w:rsidRPr="00813E2C">
        <w:rPr>
          <w:rFonts w:ascii="Times New Roman" w:hAnsi="Times New Roman"/>
          <w:i/>
          <w:iCs/>
          <w:sz w:val="24"/>
          <w:szCs w:val="24"/>
          <w:lang w:val="en-GB"/>
        </w:rPr>
        <w:t>Lütticke</w:t>
      </w:r>
      <w:r w:rsidRPr="00813E2C">
        <w:rPr>
          <w:rFonts w:ascii="Times New Roman" w:hAnsi="Times New Roman"/>
          <w:sz w:val="24"/>
          <w:szCs w:val="24"/>
          <w:lang w:val="en-GB"/>
        </w:rPr>
        <w:t xml:space="preserve">, </w:t>
      </w:r>
      <w:r w:rsidRPr="00813E2C">
        <w:rPr>
          <w:rFonts w:ascii="Times New Roman" w:hAnsi="Times New Roman"/>
          <w:i/>
          <w:iCs/>
          <w:sz w:val="24"/>
          <w:szCs w:val="24"/>
          <w:lang w:val="en-GB"/>
        </w:rPr>
        <w:t>Simmenthal</w:t>
      </w:r>
      <w:r w:rsidRPr="00813E2C">
        <w:rPr>
          <w:rFonts w:ascii="Times New Roman" w:hAnsi="Times New Roman"/>
          <w:sz w:val="24"/>
          <w:szCs w:val="24"/>
          <w:lang w:val="en-GB"/>
        </w:rPr>
        <w:t xml:space="preserve">, </w:t>
      </w:r>
      <w:r w:rsidRPr="00813E2C">
        <w:rPr>
          <w:rFonts w:ascii="Times New Roman" w:hAnsi="Times New Roman"/>
          <w:i/>
          <w:iCs/>
          <w:sz w:val="24"/>
          <w:szCs w:val="24"/>
          <w:lang w:val="en-GB"/>
        </w:rPr>
        <w:t>Factortame</w:t>
      </w:r>
      <w:r w:rsidRPr="00813E2C">
        <w:rPr>
          <w:rFonts w:ascii="Times New Roman" w:hAnsi="Times New Roman"/>
          <w:sz w:val="24"/>
          <w:szCs w:val="24"/>
          <w:lang w:val="en-GB"/>
        </w:rPr>
        <w:t xml:space="preserve">), because of their contribution to the completion of the common market (e.g., </w:t>
      </w:r>
      <w:r w:rsidRPr="00813E2C">
        <w:rPr>
          <w:rFonts w:ascii="Times New Roman" w:hAnsi="Times New Roman"/>
          <w:i/>
          <w:iCs/>
          <w:sz w:val="24"/>
          <w:szCs w:val="24"/>
          <w:lang w:val="en-GB"/>
        </w:rPr>
        <w:t>Dassonville</w:t>
      </w:r>
      <w:r w:rsidRPr="00813E2C">
        <w:rPr>
          <w:rFonts w:ascii="Times New Roman" w:hAnsi="Times New Roman"/>
          <w:sz w:val="24"/>
          <w:szCs w:val="24"/>
          <w:lang w:val="en-GB"/>
        </w:rPr>
        <w:t xml:space="preserve"> and </w:t>
      </w:r>
      <w:r>
        <w:rPr>
          <w:rFonts w:ascii="Times New Roman" w:hAnsi="Times New Roman"/>
          <w:sz w:val="24"/>
          <w:szCs w:val="24"/>
          <w:lang w:val="en-GB"/>
        </w:rPr>
        <w:t>‘</w:t>
      </w:r>
      <w:r w:rsidRPr="00813E2C">
        <w:rPr>
          <w:rFonts w:ascii="Times New Roman" w:hAnsi="Times New Roman"/>
          <w:sz w:val="24"/>
          <w:szCs w:val="24"/>
          <w:lang w:val="en-GB"/>
        </w:rPr>
        <w:t>Cassis de Dijon</w:t>
      </w:r>
      <w:r>
        <w:rPr>
          <w:rFonts w:ascii="Times New Roman" w:hAnsi="Times New Roman"/>
          <w:sz w:val="24"/>
          <w:szCs w:val="24"/>
          <w:lang w:val="en-GB"/>
        </w:rPr>
        <w:t>’</w:t>
      </w:r>
      <w:r w:rsidRPr="00813E2C">
        <w:rPr>
          <w:rFonts w:ascii="Times New Roman" w:hAnsi="Times New Roman"/>
          <w:sz w:val="24"/>
          <w:szCs w:val="24"/>
          <w:lang w:val="en-GB"/>
        </w:rPr>
        <w:t xml:space="preserve">), or because of their influence on the development of </w:t>
      </w:r>
      <w:r>
        <w:rPr>
          <w:rFonts w:ascii="Times New Roman" w:hAnsi="Times New Roman"/>
          <w:sz w:val="24"/>
          <w:szCs w:val="24"/>
          <w:lang w:val="en-GB"/>
        </w:rPr>
        <w:t>Community</w:t>
      </w:r>
      <w:r w:rsidRPr="00813E2C">
        <w:rPr>
          <w:rFonts w:ascii="Times New Roman" w:hAnsi="Times New Roman"/>
          <w:sz w:val="24"/>
          <w:szCs w:val="24"/>
          <w:lang w:val="en-GB"/>
        </w:rPr>
        <w:t xml:space="preserve"> law</w:t>
      </w:r>
      <w:r>
        <w:rPr>
          <w:rFonts w:ascii="Times New Roman" w:hAnsi="Times New Roman"/>
          <w:sz w:val="24"/>
          <w:szCs w:val="24"/>
          <w:lang w:val="en-GB"/>
        </w:rPr>
        <w:t xml:space="preserve">. Therefore, the fact that </w:t>
      </w:r>
      <w:r w:rsidRPr="00813E2C">
        <w:rPr>
          <w:rFonts w:ascii="Times New Roman" w:hAnsi="Times New Roman"/>
          <w:sz w:val="24"/>
          <w:szCs w:val="24"/>
          <w:lang w:val="en-GB"/>
        </w:rPr>
        <w:t xml:space="preserve">literal arguments are almost absent from the </w:t>
      </w:r>
      <w:r>
        <w:rPr>
          <w:rFonts w:ascii="Times New Roman" w:hAnsi="Times New Roman"/>
          <w:sz w:val="24"/>
          <w:szCs w:val="24"/>
          <w:lang w:val="en-GB"/>
        </w:rPr>
        <w:t>S</w:t>
      </w:r>
      <w:r w:rsidRPr="00813E2C">
        <w:rPr>
          <w:rFonts w:ascii="Times New Roman" w:hAnsi="Times New Roman"/>
          <w:sz w:val="24"/>
          <w:szCs w:val="24"/>
          <w:lang w:val="en-GB"/>
        </w:rPr>
        <w:t>ample</w:t>
      </w:r>
      <w:r>
        <w:rPr>
          <w:rFonts w:ascii="Times New Roman" w:hAnsi="Times New Roman"/>
          <w:sz w:val="24"/>
          <w:szCs w:val="24"/>
          <w:lang w:val="en-GB"/>
        </w:rPr>
        <w:t xml:space="preserve"> cannot be regarded as indicative of a general feature of the Court’s legal reasoning.</w:t>
      </w:r>
    </w:p>
    <w:p w:rsidR="005E6612" w:rsidRPr="00813E2C" w:rsidRDefault="005E6612" w:rsidP="00B27D8E">
      <w:pPr>
        <w:spacing w:line="240" w:lineRule="auto"/>
        <w:jc w:val="both"/>
        <w:rPr>
          <w:rFonts w:ascii="Times New Roman" w:hAnsi="Times New Roman"/>
          <w:i/>
          <w:iCs/>
          <w:sz w:val="24"/>
          <w:szCs w:val="24"/>
          <w:lang w:val="en-GB"/>
        </w:rPr>
      </w:pPr>
      <w:bookmarkStart w:id="4" w:name="_Toc332347994"/>
      <w:r w:rsidRPr="00813E2C">
        <w:rPr>
          <w:rFonts w:ascii="Times New Roman" w:hAnsi="Times New Roman"/>
          <w:sz w:val="24"/>
          <w:szCs w:val="24"/>
          <w:lang w:val="en-GB"/>
        </w:rPr>
        <w:t xml:space="preserve">7. </w:t>
      </w:r>
      <w:r w:rsidRPr="00813E2C">
        <w:rPr>
          <w:rFonts w:ascii="Times New Roman" w:hAnsi="Times New Roman"/>
          <w:i/>
          <w:iCs/>
          <w:sz w:val="24"/>
          <w:szCs w:val="24"/>
          <w:lang w:val="en-GB"/>
        </w:rPr>
        <w:t>Domestic harmonising arguments</w:t>
      </w:r>
      <w:bookmarkEnd w:id="4"/>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This argument is fairly common in the </w:t>
      </w:r>
      <w:r>
        <w:rPr>
          <w:rFonts w:ascii="Times New Roman" w:hAnsi="Times New Roman"/>
          <w:sz w:val="24"/>
          <w:szCs w:val="24"/>
          <w:lang w:val="en-GB"/>
        </w:rPr>
        <w:t>judgme</w:t>
      </w:r>
      <w:r w:rsidRPr="00813E2C">
        <w:rPr>
          <w:rFonts w:ascii="Times New Roman" w:hAnsi="Times New Roman"/>
          <w:sz w:val="24"/>
          <w:szCs w:val="24"/>
          <w:lang w:val="en-GB"/>
        </w:rPr>
        <w:t xml:space="preserve">nts of the </w:t>
      </w:r>
      <w:r>
        <w:rPr>
          <w:rFonts w:ascii="Times New Roman" w:hAnsi="Times New Roman"/>
          <w:sz w:val="24"/>
          <w:szCs w:val="24"/>
          <w:lang w:val="en-GB"/>
        </w:rPr>
        <w:t xml:space="preserve">Sample: </w:t>
      </w:r>
      <w:r w:rsidRPr="00813E2C">
        <w:rPr>
          <w:rFonts w:ascii="Times New Roman" w:hAnsi="Times New Roman"/>
          <w:sz w:val="24"/>
          <w:szCs w:val="24"/>
          <w:lang w:val="en-GB"/>
        </w:rPr>
        <w:t xml:space="preserve">we found </w:t>
      </w:r>
      <w:r>
        <w:rPr>
          <w:rFonts w:ascii="Times New Roman" w:hAnsi="Times New Roman"/>
          <w:sz w:val="24"/>
          <w:szCs w:val="24"/>
          <w:lang w:val="en-GB"/>
        </w:rPr>
        <w:t>19 judgme</w:t>
      </w:r>
      <w:r w:rsidRPr="00813E2C">
        <w:rPr>
          <w:rFonts w:ascii="Times New Roman" w:hAnsi="Times New Roman"/>
          <w:sz w:val="24"/>
          <w:szCs w:val="24"/>
          <w:lang w:val="en-GB"/>
        </w:rPr>
        <w:t xml:space="preserve">nts which contained it. Actually this category comprises more than one argument as it </w:t>
      </w:r>
      <w:r>
        <w:rPr>
          <w:rFonts w:ascii="Times New Roman" w:hAnsi="Times New Roman"/>
          <w:sz w:val="24"/>
          <w:szCs w:val="24"/>
          <w:lang w:val="en-GB"/>
        </w:rPr>
        <w:t xml:space="preserve">identifies </w:t>
      </w:r>
      <w:r w:rsidRPr="00813E2C">
        <w:rPr>
          <w:rFonts w:ascii="Times New Roman" w:hAnsi="Times New Roman"/>
          <w:sz w:val="24"/>
          <w:szCs w:val="24"/>
          <w:lang w:val="en-GB"/>
        </w:rPr>
        <w:t xml:space="preserve">a family of arguments that share the structural feature of supporting a certain interpretation by referring to other </w:t>
      </w:r>
      <w:r>
        <w:rPr>
          <w:rFonts w:ascii="Times New Roman" w:hAnsi="Times New Roman"/>
          <w:sz w:val="24"/>
          <w:szCs w:val="24"/>
          <w:lang w:val="en-GB"/>
        </w:rPr>
        <w:t>legal</w:t>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iCs/>
          <w:sz w:val="24"/>
          <w:szCs w:val="24"/>
          <w:lang w:val="en-GB"/>
        </w:rPr>
      </w:pPr>
      <w:r w:rsidRPr="00813E2C">
        <w:rPr>
          <w:rFonts w:ascii="Times New Roman" w:hAnsi="Times New Roman"/>
          <w:sz w:val="24"/>
          <w:szCs w:val="24"/>
          <w:lang w:val="en-GB"/>
        </w:rPr>
        <w:t xml:space="preserve">Thus, under the heading </w:t>
      </w:r>
      <w:r>
        <w:rPr>
          <w:rFonts w:ascii="Times New Roman" w:hAnsi="Times New Roman"/>
          <w:sz w:val="24"/>
          <w:szCs w:val="24"/>
          <w:lang w:val="en-GB"/>
        </w:rPr>
        <w:t>‘</w:t>
      </w:r>
      <w:r w:rsidRPr="00813E2C">
        <w:rPr>
          <w:rFonts w:ascii="Times New Roman" w:hAnsi="Times New Roman"/>
          <w:sz w:val="24"/>
          <w:szCs w:val="24"/>
          <w:lang w:val="en-GB"/>
        </w:rPr>
        <w:t>harmonising arguments</w:t>
      </w:r>
      <w:r>
        <w:rPr>
          <w:rFonts w:ascii="Times New Roman" w:hAnsi="Times New Roman"/>
          <w:sz w:val="24"/>
          <w:szCs w:val="24"/>
          <w:lang w:val="en-GB"/>
        </w:rPr>
        <w:t>’</w:t>
      </w:r>
      <w:r w:rsidRPr="00813E2C">
        <w:rPr>
          <w:rFonts w:ascii="Times New Roman" w:hAnsi="Times New Roman"/>
          <w:sz w:val="24"/>
          <w:szCs w:val="24"/>
          <w:lang w:val="en-GB"/>
        </w:rPr>
        <w:t xml:space="preserve"> we grouped, first of all, the cases in which the Court </w:t>
      </w:r>
      <w:r>
        <w:rPr>
          <w:rFonts w:ascii="Times New Roman" w:hAnsi="Times New Roman"/>
          <w:sz w:val="24"/>
          <w:szCs w:val="24"/>
          <w:lang w:val="en-GB"/>
        </w:rPr>
        <w:t xml:space="preserve">makes </w:t>
      </w:r>
      <w:r w:rsidRPr="00813E2C">
        <w:rPr>
          <w:rFonts w:ascii="Times New Roman" w:hAnsi="Times New Roman"/>
          <w:sz w:val="24"/>
          <w:szCs w:val="24"/>
          <w:lang w:val="en-GB"/>
        </w:rPr>
        <w:t xml:space="preserve">some generic reference to the </w:t>
      </w:r>
      <w:r>
        <w:rPr>
          <w:rFonts w:ascii="Times New Roman" w:hAnsi="Times New Roman"/>
          <w:sz w:val="24"/>
          <w:szCs w:val="24"/>
          <w:lang w:val="en-GB"/>
        </w:rPr>
        <w:t>‘</w:t>
      </w:r>
      <w:r w:rsidRPr="00813E2C">
        <w:rPr>
          <w:rFonts w:ascii="Times New Roman" w:hAnsi="Times New Roman"/>
          <w:sz w:val="24"/>
          <w:szCs w:val="24"/>
          <w:lang w:val="en-GB"/>
        </w:rPr>
        <w:t xml:space="preserve">spirit of the </w:t>
      </w:r>
      <w:r>
        <w:rPr>
          <w:rFonts w:ascii="Times New Roman" w:hAnsi="Times New Roman"/>
          <w:sz w:val="24"/>
          <w:szCs w:val="24"/>
          <w:lang w:val="en-GB"/>
        </w:rPr>
        <w:t>T</w:t>
      </w:r>
      <w:r w:rsidRPr="00813E2C">
        <w:rPr>
          <w:rFonts w:ascii="Times New Roman" w:hAnsi="Times New Roman"/>
          <w:sz w:val="24"/>
          <w:szCs w:val="24"/>
          <w:lang w:val="en-GB"/>
        </w:rPr>
        <w:t>reaty</w:t>
      </w:r>
      <w:r>
        <w:rPr>
          <w:rFonts w:ascii="Times New Roman" w:hAnsi="Times New Roman"/>
          <w:sz w:val="24"/>
          <w:szCs w:val="24"/>
          <w:lang w:val="en-GB"/>
        </w:rPr>
        <w:t>’</w:t>
      </w:r>
      <w:r w:rsidRPr="00813E2C">
        <w:rPr>
          <w:rFonts w:ascii="Times New Roman" w:hAnsi="Times New Roman"/>
          <w:sz w:val="24"/>
          <w:szCs w:val="24"/>
          <w:lang w:val="en-GB"/>
        </w:rPr>
        <w:t xml:space="preserve">, </w:t>
      </w:r>
      <w:r>
        <w:rPr>
          <w:rFonts w:ascii="Times New Roman" w:hAnsi="Times New Roman"/>
          <w:sz w:val="24"/>
          <w:szCs w:val="24"/>
          <w:lang w:val="en-GB"/>
        </w:rPr>
        <w:t>‘</w:t>
      </w:r>
      <w:r w:rsidRPr="00813E2C">
        <w:rPr>
          <w:rFonts w:ascii="Times New Roman" w:hAnsi="Times New Roman"/>
          <w:iCs/>
          <w:sz w:val="24"/>
          <w:szCs w:val="24"/>
          <w:lang w:val="en-GB"/>
        </w:rPr>
        <w:t>the whole scheme of the Treaty</w:t>
      </w:r>
      <w:r>
        <w:rPr>
          <w:rFonts w:ascii="Times New Roman" w:hAnsi="Times New Roman"/>
          <w:iCs/>
          <w:sz w:val="24"/>
          <w:szCs w:val="24"/>
          <w:lang w:val="en-GB"/>
        </w:rPr>
        <w:t>’</w:t>
      </w:r>
      <w:r w:rsidRPr="00813E2C">
        <w:rPr>
          <w:rFonts w:ascii="Times New Roman" w:hAnsi="Times New Roman"/>
          <w:iCs/>
          <w:sz w:val="24"/>
          <w:szCs w:val="24"/>
          <w:lang w:val="en-GB"/>
        </w:rPr>
        <w:t xml:space="preserve">, the </w:t>
      </w:r>
      <w:r>
        <w:rPr>
          <w:rFonts w:ascii="Times New Roman" w:hAnsi="Times New Roman"/>
          <w:iCs/>
          <w:sz w:val="24"/>
          <w:szCs w:val="24"/>
          <w:lang w:val="en-GB"/>
        </w:rPr>
        <w:t>‘</w:t>
      </w:r>
      <w:r w:rsidRPr="00813E2C">
        <w:rPr>
          <w:rFonts w:ascii="Times New Roman" w:hAnsi="Times New Roman"/>
          <w:iCs/>
          <w:sz w:val="24"/>
          <w:szCs w:val="24"/>
          <w:lang w:val="en-GB"/>
        </w:rPr>
        <w:t>system</w:t>
      </w:r>
      <w:r>
        <w:rPr>
          <w:rFonts w:ascii="Times New Roman" w:hAnsi="Times New Roman"/>
          <w:iCs/>
          <w:sz w:val="24"/>
          <w:szCs w:val="24"/>
          <w:lang w:val="en-GB"/>
        </w:rPr>
        <w:t>’</w:t>
      </w:r>
      <w:r w:rsidRPr="00813E2C">
        <w:rPr>
          <w:rFonts w:ascii="Times New Roman" w:hAnsi="Times New Roman"/>
          <w:iCs/>
          <w:sz w:val="24"/>
          <w:szCs w:val="24"/>
          <w:lang w:val="en-GB"/>
        </w:rPr>
        <w:t xml:space="preserve"> established by the Treaty or by a Treaty provision or group of provisions, the </w:t>
      </w:r>
      <w:r>
        <w:rPr>
          <w:rFonts w:ascii="Times New Roman" w:hAnsi="Times New Roman"/>
          <w:iCs/>
          <w:sz w:val="24"/>
          <w:szCs w:val="24"/>
          <w:lang w:val="en-GB"/>
        </w:rPr>
        <w:t>‘</w:t>
      </w:r>
      <w:r w:rsidRPr="00813E2C">
        <w:rPr>
          <w:rFonts w:ascii="Times New Roman" w:hAnsi="Times New Roman"/>
          <w:iCs/>
          <w:sz w:val="24"/>
          <w:szCs w:val="24"/>
          <w:lang w:val="en-GB"/>
        </w:rPr>
        <w:t>general system of the Treaty and its fundamental principles</w:t>
      </w:r>
      <w:r>
        <w:rPr>
          <w:rFonts w:ascii="Times New Roman" w:hAnsi="Times New Roman"/>
          <w:iCs/>
          <w:sz w:val="24"/>
          <w:szCs w:val="24"/>
          <w:lang w:val="en-GB"/>
        </w:rPr>
        <w:t>’</w:t>
      </w:r>
      <w:r w:rsidRPr="00813E2C">
        <w:rPr>
          <w:rFonts w:ascii="Times New Roman" w:hAnsi="Times New Roman"/>
          <w:iCs/>
          <w:sz w:val="24"/>
          <w:szCs w:val="24"/>
          <w:lang w:val="en-GB"/>
        </w:rPr>
        <w:t>, and so on, with</w:t>
      </w:r>
      <w:r>
        <w:rPr>
          <w:rFonts w:ascii="Times New Roman" w:hAnsi="Times New Roman"/>
          <w:iCs/>
          <w:sz w:val="24"/>
          <w:szCs w:val="24"/>
          <w:lang w:val="en-GB"/>
        </w:rPr>
        <w:t>out</w:t>
      </w:r>
      <w:r w:rsidRPr="00813E2C">
        <w:rPr>
          <w:rFonts w:ascii="Times New Roman" w:hAnsi="Times New Roman"/>
          <w:iCs/>
          <w:sz w:val="24"/>
          <w:szCs w:val="24"/>
          <w:lang w:val="en-GB"/>
        </w:rPr>
        <w:t xml:space="preserve"> specifying </w:t>
      </w:r>
      <w:r>
        <w:rPr>
          <w:rFonts w:ascii="Times New Roman" w:hAnsi="Times New Roman"/>
          <w:iCs/>
          <w:sz w:val="24"/>
          <w:szCs w:val="24"/>
          <w:lang w:val="en-GB"/>
        </w:rPr>
        <w:t>which</w:t>
      </w:r>
      <w:r w:rsidRPr="00813E2C">
        <w:rPr>
          <w:rFonts w:ascii="Times New Roman" w:hAnsi="Times New Roman"/>
          <w:iCs/>
          <w:sz w:val="24"/>
          <w:szCs w:val="24"/>
          <w:lang w:val="en-GB"/>
        </w:rPr>
        <w:t xml:space="preserve"> </w:t>
      </w:r>
      <w:r>
        <w:rPr>
          <w:rFonts w:ascii="Times New Roman" w:hAnsi="Times New Roman"/>
          <w:iCs/>
          <w:sz w:val="24"/>
          <w:szCs w:val="24"/>
          <w:lang w:val="en-GB"/>
        </w:rPr>
        <w:t>are</w:t>
      </w:r>
      <w:r w:rsidRPr="00813E2C">
        <w:rPr>
          <w:rFonts w:ascii="Times New Roman" w:hAnsi="Times New Roman"/>
          <w:iCs/>
          <w:sz w:val="24"/>
          <w:szCs w:val="24"/>
          <w:lang w:val="en-GB"/>
        </w:rPr>
        <w:t xml:space="preserve"> the </w:t>
      </w:r>
      <w:r w:rsidRPr="00813E2C">
        <w:rPr>
          <w:rFonts w:ascii="Times New Roman" w:hAnsi="Times New Roman"/>
          <w:iCs/>
          <w:sz w:val="24"/>
          <w:szCs w:val="24"/>
          <w:lang w:val="en-GB"/>
        </w:rPr>
        <w:lastRenderedPageBreak/>
        <w:t>provisions that articulate</w:t>
      </w:r>
      <w:r>
        <w:rPr>
          <w:rFonts w:ascii="Times New Roman" w:hAnsi="Times New Roman"/>
          <w:iCs/>
          <w:sz w:val="24"/>
          <w:szCs w:val="24"/>
          <w:lang w:val="en-GB"/>
        </w:rPr>
        <w:t xml:space="preserve"> the</w:t>
      </w:r>
      <w:r w:rsidRPr="00813E2C">
        <w:rPr>
          <w:rFonts w:ascii="Times New Roman" w:hAnsi="Times New Roman"/>
          <w:iCs/>
          <w:sz w:val="24"/>
          <w:szCs w:val="24"/>
          <w:lang w:val="en-GB"/>
        </w:rPr>
        <w:t xml:space="preserve"> system</w:t>
      </w:r>
      <w:r>
        <w:rPr>
          <w:rFonts w:ascii="Times New Roman" w:hAnsi="Times New Roman"/>
          <w:iCs/>
          <w:sz w:val="24"/>
          <w:szCs w:val="24"/>
          <w:lang w:val="en-GB"/>
        </w:rPr>
        <w:t xml:space="preserve"> and embody</w:t>
      </w:r>
      <w:r w:rsidRPr="00813E2C">
        <w:rPr>
          <w:rFonts w:ascii="Times New Roman" w:hAnsi="Times New Roman"/>
          <w:iCs/>
          <w:sz w:val="24"/>
          <w:szCs w:val="24"/>
          <w:lang w:val="en-GB"/>
        </w:rPr>
        <w:t xml:space="preserve"> </w:t>
      </w:r>
      <w:r>
        <w:rPr>
          <w:rFonts w:ascii="Times New Roman" w:hAnsi="Times New Roman"/>
          <w:iCs/>
          <w:sz w:val="24"/>
          <w:szCs w:val="24"/>
          <w:lang w:val="en-GB"/>
        </w:rPr>
        <w:t>the</w:t>
      </w:r>
      <w:r w:rsidRPr="00813E2C">
        <w:rPr>
          <w:rFonts w:ascii="Times New Roman" w:hAnsi="Times New Roman"/>
          <w:iCs/>
          <w:sz w:val="24"/>
          <w:szCs w:val="24"/>
          <w:lang w:val="en-GB"/>
        </w:rPr>
        <w:t xml:space="preserve"> spirit. The case law of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xml:space="preserve"> is not short of generic references of this kind</w:t>
      </w:r>
      <w:r>
        <w:rPr>
          <w:rFonts w:ascii="Times New Roman" w:hAnsi="Times New Roman"/>
          <w:iCs/>
          <w:sz w:val="24"/>
          <w:szCs w:val="24"/>
          <w:lang w:val="en-GB"/>
        </w:rPr>
        <w:t>.</w:t>
      </w:r>
      <w:r w:rsidRPr="00813E2C">
        <w:rPr>
          <w:rStyle w:val="Rimandonotaapidipagina"/>
          <w:rFonts w:ascii="Times New Roman" w:hAnsi="Times New Roman"/>
          <w:iCs/>
          <w:sz w:val="24"/>
          <w:szCs w:val="24"/>
          <w:lang w:val="en-GB"/>
        </w:rPr>
        <w:footnoteReference w:id="39"/>
      </w:r>
      <w:r w:rsidRPr="00813E2C">
        <w:rPr>
          <w:rFonts w:ascii="Times New Roman" w:hAnsi="Times New Roman"/>
          <w:iCs/>
          <w:sz w:val="24"/>
          <w:szCs w:val="24"/>
          <w:lang w:val="en-GB"/>
        </w:rPr>
        <w:t xml:space="preserve"> </w:t>
      </w:r>
    </w:p>
    <w:p w:rsidR="005E6612" w:rsidRPr="00813E2C" w:rsidRDefault="005E6612" w:rsidP="00B27D8E">
      <w:pPr>
        <w:spacing w:line="240" w:lineRule="auto"/>
        <w:jc w:val="both"/>
        <w:rPr>
          <w:rFonts w:ascii="Times New Roman" w:hAnsi="Times New Roman"/>
          <w:iCs/>
          <w:sz w:val="24"/>
          <w:szCs w:val="24"/>
          <w:lang w:val="en-GB"/>
        </w:rPr>
      </w:pPr>
      <w:r w:rsidRPr="00813E2C">
        <w:rPr>
          <w:rFonts w:ascii="Times New Roman" w:hAnsi="Times New Roman"/>
          <w:iCs/>
          <w:sz w:val="24"/>
          <w:szCs w:val="24"/>
          <w:lang w:val="en-GB"/>
        </w:rPr>
        <w:t xml:space="preserve">Secondly, </w:t>
      </w:r>
      <w:r w:rsidRPr="00813E2C">
        <w:rPr>
          <w:rFonts w:ascii="Times New Roman" w:hAnsi="Times New Roman"/>
          <w:sz w:val="24"/>
          <w:szCs w:val="24"/>
          <w:lang w:val="en-GB"/>
        </w:rPr>
        <w:t>we found numerous ca</w:t>
      </w:r>
      <w:r>
        <w:rPr>
          <w:rFonts w:ascii="Times New Roman" w:hAnsi="Times New Roman"/>
          <w:sz w:val="24"/>
          <w:szCs w:val="24"/>
          <w:lang w:val="en-GB"/>
        </w:rPr>
        <w:t xml:space="preserve">ses in which the Court clarifies </w:t>
      </w:r>
      <w:r w:rsidRPr="00813E2C">
        <w:rPr>
          <w:rFonts w:ascii="Times New Roman" w:hAnsi="Times New Roman"/>
          <w:sz w:val="24"/>
          <w:szCs w:val="24"/>
          <w:lang w:val="en-GB"/>
        </w:rPr>
        <w:t>the relationships between different provisions of the Treaty and construct</w:t>
      </w:r>
      <w:r>
        <w:rPr>
          <w:rFonts w:ascii="Times New Roman" w:hAnsi="Times New Roman"/>
          <w:sz w:val="24"/>
          <w:szCs w:val="24"/>
          <w:lang w:val="en-GB"/>
        </w:rPr>
        <w:t xml:space="preserve">s </w:t>
      </w:r>
      <w:r w:rsidRPr="00813E2C">
        <w:rPr>
          <w:rFonts w:ascii="Times New Roman" w:hAnsi="Times New Roman"/>
          <w:sz w:val="24"/>
          <w:szCs w:val="24"/>
          <w:lang w:val="en-GB"/>
        </w:rPr>
        <w:t xml:space="preserve">the rule of the case by reading a plurality of provisions </w:t>
      </w:r>
      <w:r>
        <w:rPr>
          <w:rFonts w:ascii="Times New Roman" w:hAnsi="Times New Roman"/>
          <w:sz w:val="24"/>
          <w:szCs w:val="24"/>
          <w:lang w:val="en-GB"/>
        </w:rPr>
        <w:t>‘</w:t>
      </w:r>
      <w:r w:rsidRPr="00813E2C">
        <w:rPr>
          <w:rFonts w:ascii="Times New Roman" w:hAnsi="Times New Roman"/>
          <w:sz w:val="24"/>
          <w:szCs w:val="24"/>
          <w:lang w:val="en-GB"/>
        </w:rPr>
        <w:t>in conjunction</w:t>
      </w:r>
      <w:r>
        <w:rPr>
          <w:rFonts w:ascii="Times New Roman" w:hAnsi="Times New Roman"/>
          <w:sz w:val="24"/>
          <w:szCs w:val="24"/>
          <w:lang w:val="en-GB"/>
        </w:rPr>
        <w:t>’</w:t>
      </w:r>
      <w:r w:rsidRPr="00813E2C">
        <w:rPr>
          <w:rFonts w:ascii="Times New Roman" w:hAnsi="Times New Roman"/>
          <w:sz w:val="24"/>
          <w:szCs w:val="24"/>
          <w:lang w:val="en-GB"/>
        </w:rPr>
        <w:t xml:space="preserve"> with </w:t>
      </w:r>
      <w:r>
        <w:rPr>
          <w:rFonts w:ascii="Times New Roman" w:hAnsi="Times New Roman"/>
          <w:sz w:val="24"/>
          <w:szCs w:val="24"/>
          <w:lang w:val="en-GB"/>
        </w:rPr>
        <w:t>one</w:t>
      </w:r>
      <w:r w:rsidRPr="00813E2C">
        <w:rPr>
          <w:rFonts w:ascii="Times New Roman" w:hAnsi="Times New Roman"/>
          <w:sz w:val="24"/>
          <w:szCs w:val="24"/>
          <w:lang w:val="en-GB"/>
        </w:rPr>
        <w:t xml:space="preserve"> </w:t>
      </w:r>
      <w:r>
        <w:rPr>
          <w:rFonts w:ascii="Times New Roman" w:hAnsi="Times New Roman"/>
          <w:sz w:val="24"/>
          <w:szCs w:val="24"/>
          <w:lang w:val="en-GB"/>
        </w:rPr>
        <w:t>an</w:t>
      </w:r>
      <w:r w:rsidRPr="00813E2C">
        <w:rPr>
          <w:rFonts w:ascii="Times New Roman" w:hAnsi="Times New Roman"/>
          <w:sz w:val="24"/>
          <w:szCs w:val="24"/>
          <w:lang w:val="en-GB"/>
        </w:rPr>
        <w:t xml:space="preserve">other. In these cases, the scheme of the Treaty is not merely evoked by the Court but is concretely constructed by reference to the systematic reading of a </w:t>
      </w:r>
      <w:r>
        <w:rPr>
          <w:rFonts w:ascii="Times New Roman" w:hAnsi="Times New Roman"/>
          <w:sz w:val="24"/>
          <w:szCs w:val="24"/>
          <w:lang w:val="en-GB"/>
        </w:rPr>
        <w:t>group</w:t>
      </w:r>
      <w:r w:rsidRPr="00813E2C">
        <w:rPr>
          <w:rFonts w:ascii="Times New Roman" w:hAnsi="Times New Roman"/>
          <w:sz w:val="24"/>
          <w:szCs w:val="24"/>
          <w:lang w:val="en-GB"/>
        </w:rPr>
        <w:t xml:space="preserve"> of Treaty provisions</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40"/>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iCs/>
          <w:sz w:val="24"/>
          <w:szCs w:val="24"/>
          <w:lang w:val="en-GB"/>
        </w:rPr>
        <w:t xml:space="preserve">Thirdly, </w:t>
      </w:r>
      <w:r w:rsidRPr="00813E2C">
        <w:rPr>
          <w:rFonts w:ascii="Times New Roman" w:hAnsi="Times New Roman"/>
          <w:sz w:val="24"/>
          <w:szCs w:val="24"/>
          <w:lang w:val="en-GB"/>
        </w:rPr>
        <w:t xml:space="preserve">we </w:t>
      </w:r>
      <w:r>
        <w:rPr>
          <w:rFonts w:ascii="Times New Roman" w:hAnsi="Times New Roman"/>
          <w:sz w:val="24"/>
          <w:szCs w:val="24"/>
          <w:lang w:val="en-GB"/>
        </w:rPr>
        <w:t xml:space="preserve">found </w:t>
      </w:r>
      <w:r w:rsidRPr="00813E2C">
        <w:rPr>
          <w:rFonts w:ascii="Times New Roman" w:hAnsi="Times New Roman"/>
          <w:sz w:val="24"/>
          <w:szCs w:val="24"/>
          <w:lang w:val="en-GB"/>
        </w:rPr>
        <w:t xml:space="preserve">cases in which the Court states that a certain interpretation of the Treaty is </w:t>
      </w:r>
      <w:r>
        <w:rPr>
          <w:rFonts w:ascii="Times New Roman" w:hAnsi="Times New Roman"/>
          <w:sz w:val="24"/>
          <w:szCs w:val="24"/>
          <w:lang w:val="en-GB"/>
        </w:rPr>
        <w:t>‘</w:t>
      </w:r>
      <w:r w:rsidRPr="00813E2C">
        <w:rPr>
          <w:rFonts w:ascii="Times New Roman" w:hAnsi="Times New Roman"/>
          <w:sz w:val="24"/>
          <w:szCs w:val="24"/>
          <w:lang w:val="en-GB"/>
        </w:rPr>
        <w:t>confirmed</w:t>
      </w:r>
      <w:r>
        <w:rPr>
          <w:rFonts w:ascii="Times New Roman" w:hAnsi="Times New Roman"/>
          <w:sz w:val="24"/>
          <w:szCs w:val="24"/>
          <w:lang w:val="en-GB"/>
        </w:rPr>
        <w:t>’</w:t>
      </w:r>
      <w:r w:rsidRPr="00813E2C">
        <w:rPr>
          <w:rFonts w:ascii="Times New Roman" w:hAnsi="Times New Roman"/>
          <w:sz w:val="24"/>
          <w:szCs w:val="24"/>
          <w:lang w:val="en-GB"/>
        </w:rPr>
        <w:t xml:space="preserve"> or </w:t>
      </w:r>
      <w:r>
        <w:rPr>
          <w:rFonts w:ascii="Times New Roman" w:hAnsi="Times New Roman"/>
          <w:sz w:val="24"/>
          <w:szCs w:val="24"/>
          <w:lang w:val="en-GB"/>
        </w:rPr>
        <w:t>‘</w:t>
      </w:r>
      <w:r w:rsidRPr="00813E2C">
        <w:rPr>
          <w:rFonts w:ascii="Times New Roman" w:hAnsi="Times New Roman"/>
          <w:sz w:val="24"/>
          <w:szCs w:val="24"/>
          <w:lang w:val="en-GB"/>
        </w:rPr>
        <w:t>supported</w:t>
      </w:r>
      <w:r>
        <w:rPr>
          <w:rFonts w:ascii="Times New Roman" w:hAnsi="Times New Roman"/>
          <w:sz w:val="24"/>
          <w:szCs w:val="24"/>
          <w:lang w:val="en-GB"/>
        </w:rPr>
        <w:t>’</w:t>
      </w:r>
      <w:r w:rsidRPr="00813E2C">
        <w:rPr>
          <w:rFonts w:ascii="Times New Roman" w:hAnsi="Times New Roman"/>
          <w:sz w:val="24"/>
          <w:szCs w:val="24"/>
          <w:lang w:val="en-GB"/>
        </w:rPr>
        <w:t xml:space="preserve"> by other provisions of the Treaty, or in which it declares to be following considerations dictated by </w:t>
      </w:r>
      <w:r>
        <w:rPr>
          <w:rFonts w:ascii="Times New Roman" w:hAnsi="Times New Roman"/>
          <w:sz w:val="24"/>
          <w:szCs w:val="24"/>
          <w:lang w:val="en-GB"/>
        </w:rPr>
        <w:t>‘</w:t>
      </w:r>
      <w:r w:rsidRPr="00813E2C">
        <w:rPr>
          <w:rFonts w:ascii="Times New Roman" w:hAnsi="Times New Roman"/>
          <w:sz w:val="24"/>
          <w:szCs w:val="24"/>
          <w:lang w:val="en-GB"/>
        </w:rPr>
        <w:t>the necessary coherence</w:t>
      </w:r>
      <w:r>
        <w:rPr>
          <w:rFonts w:ascii="Times New Roman" w:hAnsi="Times New Roman"/>
          <w:sz w:val="24"/>
          <w:szCs w:val="24"/>
          <w:lang w:val="en-GB"/>
        </w:rPr>
        <w:t>’</w:t>
      </w:r>
      <w:r w:rsidRPr="00813E2C">
        <w:rPr>
          <w:rFonts w:ascii="Times New Roman" w:hAnsi="Times New Roman"/>
          <w:sz w:val="24"/>
          <w:szCs w:val="24"/>
          <w:lang w:val="en-GB"/>
        </w:rPr>
        <w:t xml:space="preserve"> of the provision to be interpreted with other provisions of the Treaty, or in which it reads one provision in the light of some </w:t>
      </w:r>
      <w:r>
        <w:rPr>
          <w:rFonts w:ascii="Times New Roman" w:hAnsi="Times New Roman"/>
          <w:sz w:val="24"/>
          <w:szCs w:val="24"/>
          <w:lang w:val="en-GB"/>
        </w:rPr>
        <w:t>‘</w:t>
      </w:r>
      <w:r w:rsidRPr="00813E2C">
        <w:rPr>
          <w:rFonts w:ascii="Times New Roman" w:hAnsi="Times New Roman"/>
          <w:sz w:val="24"/>
          <w:szCs w:val="24"/>
          <w:lang w:val="en-GB"/>
        </w:rPr>
        <w:t>fundamental principle</w:t>
      </w:r>
      <w:r>
        <w:rPr>
          <w:rFonts w:ascii="Times New Roman" w:hAnsi="Times New Roman"/>
          <w:sz w:val="24"/>
          <w:szCs w:val="24"/>
          <w:lang w:val="en-GB"/>
        </w:rPr>
        <w:t>’</w:t>
      </w:r>
      <w:r w:rsidRPr="00813E2C">
        <w:rPr>
          <w:rFonts w:ascii="Times New Roman" w:hAnsi="Times New Roman"/>
          <w:sz w:val="24"/>
          <w:szCs w:val="24"/>
          <w:lang w:val="en-GB"/>
        </w:rPr>
        <w:t xml:space="preserve"> of Community law in order to avoid internal conflicts and inconsistencies</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41"/>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Fourthly, we considered instances of harmonisation argument </w:t>
      </w:r>
      <w:r>
        <w:rPr>
          <w:rFonts w:ascii="Times New Roman" w:hAnsi="Times New Roman"/>
          <w:sz w:val="24"/>
          <w:szCs w:val="24"/>
          <w:lang w:val="en-GB"/>
        </w:rPr>
        <w:t xml:space="preserve">to be </w:t>
      </w:r>
      <w:r w:rsidRPr="00813E2C">
        <w:rPr>
          <w:rFonts w:ascii="Times New Roman" w:hAnsi="Times New Roman"/>
          <w:sz w:val="24"/>
          <w:szCs w:val="24"/>
          <w:lang w:val="en-GB"/>
        </w:rPr>
        <w:t xml:space="preserve">those cases in which the Court adopts a certain interpretation in order not to </w:t>
      </w:r>
      <w:r>
        <w:rPr>
          <w:rFonts w:ascii="Times New Roman" w:hAnsi="Times New Roman"/>
          <w:sz w:val="24"/>
          <w:szCs w:val="24"/>
          <w:lang w:val="en-GB"/>
        </w:rPr>
        <w:t>‘</w:t>
      </w:r>
      <w:r w:rsidRPr="00813E2C">
        <w:rPr>
          <w:rFonts w:ascii="Times New Roman" w:hAnsi="Times New Roman"/>
          <w:sz w:val="24"/>
          <w:szCs w:val="24"/>
          <w:lang w:val="en-GB"/>
        </w:rPr>
        <w:t>render meaningless</w:t>
      </w:r>
      <w:r>
        <w:rPr>
          <w:rFonts w:ascii="Times New Roman" w:hAnsi="Times New Roman"/>
          <w:sz w:val="24"/>
          <w:szCs w:val="24"/>
          <w:lang w:val="en-GB"/>
        </w:rPr>
        <w:t>’</w:t>
      </w:r>
      <w:r w:rsidRPr="00813E2C">
        <w:rPr>
          <w:rFonts w:ascii="Times New Roman" w:hAnsi="Times New Roman"/>
          <w:sz w:val="24"/>
          <w:szCs w:val="24"/>
          <w:lang w:val="en-GB"/>
        </w:rPr>
        <w:t xml:space="preserve"> other principles of Community law by depriving</w:t>
      </w:r>
      <w:r>
        <w:rPr>
          <w:rFonts w:ascii="Times New Roman" w:hAnsi="Times New Roman"/>
          <w:sz w:val="24"/>
          <w:szCs w:val="24"/>
          <w:lang w:val="en-GB"/>
        </w:rPr>
        <w:t xml:space="preserve"> </w:t>
      </w:r>
      <w:r w:rsidRPr="00813E2C">
        <w:rPr>
          <w:rFonts w:ascii="Times New Roman" w:hAnsi="Times New Roman"/>
          <w:sz w:val="24"/>
          <w:szCs w:val="24"/>
          <w:lang w:val="en-GB"/>
        </w:rPr>
        <w:t xml:space="preserve">them of their </w:t>
      </w:r>
      <w:r>
        <w:rPr>
          <w:rFonts w:ascii="Times New Roman" w:hAnsi="Times New Roman"/>
          <w:sz w:val="24"/>
          <w:szCs w:val="24"/>
          <w:lang w:val="en-GB"/>
        </w:rPr>
        <w:t>‘</w:t>
      </w:r>
      <w:r w:rsidRPr="00813E2C">
        <w:rPr>
          <w:rFonts w:ascii="Times New Roman" w:hAnsi="Times New Roman"/>
          <w:sz w:val="24"/>
          <w:szCs w:val="24"/>
          <w:lang w:val="en-GB"/>
        </w:rPr>
        <w:t>essential effectiveness</w:t>
      </w:r>
      <w:r>
        <w:rPr>
          <w:rFonts w:ascii="Times New Roman" w:hAnsi="Times New Roman"/>
          <w:sz w:val="24"/>
          <w:szCs w:val="24"/>
          <w:lang w:val="en-GB"/>
        </w:rPr>
        <w:t xml:space="preserve">’ </w:t>
      </w:r>
      <w:r w:rsidRPr="00813E2C">
        <w:rPr>
          <w:rFonts w:ascii="Times New Roman" w:hAnsi="Times New Roman"/>
          <w:sz w:val="24"/>
          <w:szCs w:val="24"/>
          <w:lang w:val="en-GB"/>
        </w:rPr>
        <w:t>or by compromising the achievement of the objectives set out in the Treaties</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42"/>
      </w:r>
      <w:r w:rsidRPr="00813E2C">
        <w:rPr>
          <w:rFonts w:ascii="Times New Roman" w:hAnsi="Times New Roman"/>
          <w:sz w:val="24"/>
          <w:szCs w:val="24"/>
          <w:lang w:val="en-GB"/>
        </w:rPr>
        <w:t xml:space="preserve"> These cases differ from the former ones in that they assess the practical effects of the proposed interpretation and have ref</w:t>
      </w:r>
      <w:r>
        <w:rPr>
          <w:rFonts w:ascii="Times New Roman" w:hAnsi="Times New Roman"/>
          <w:sz w:val="24"/>
          <w:szCs w:val="24"/>
          <w:lang w:val="en-GB"/>
        </w:rPr>
        <w:t xml:space="preserve">erence to the objectives </w:t>
      </w:r>
      <w:r w:rsidRPr="00813E2C">
        <w:rPr>
          <w:rFonts w:ascii="Times New Roman" w:hAnsi="Times New Roman"/>
          <w:sz w:val="24"/>
          <w:szCs w:val="24"/>
          <w:lang w:val="en-GB"/>
        </w:rPr>
        <w:t xml:space="preserve">set out by the Treaty. Thus, this kind of harmonising argument is mixed in nature and can be regarded also as </w:t>
      </w:r>
      <w:r>
        <w:rPr>
          <w:rFonts w:ascii="Times New Roman" w:hAnsi="Times New Roman"/>
          <w:sz w:val="24"/>
          <w:szCs w:val="24"/>
          <w:lang w:val="en-GB"/>
        </w:rPr>
        <w:t xml:space="preserve">an </w:t>
      </w:r>
      <w:r w:rsidRPr="00813E2C">
        <w:rPr>
          <w:rFonts w:ascii="Times New Roman" w:hAnsi="Times New Roman"/>
          <w:sz w:val="24"/>
          <w:szCs w:val="24"/>
          <w:lang w:val="en-GB"/>
        </w:rPr>
        <w:t xml:space="preserve">instance of teleological argumentation: it is a teleological argument in which the Court declares that it intends to prevent a conflict with the objectives pursued by the Treaty as a whole or by certain Treaty provisions.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Finally, we considered instances of harmonising arguments </w:t>
      </w:r>
      <w:r>
        <w:rPr>
          <w:rFonts w:ascii="Times New Roman" w:hAnsi="Times New Roman"/>
          <w:sz w:val="24"/>
          <w:szCs w:val="24"/>
          <w:lang w:val="en-GB"/>
        </w:rPr>
        <w:t xml:space="preserve">as </w:t>
      </w:r>
      <w:r w:rsidRPr="00813E2C">
        <w:rPr>
          <w:rFonts w:ascii="Times New Roman" w:hAnsi="Times New Roman"/>
          <w:sz w:val="24"/>
          <w:szCs w:val="24"/>
          <w:lang w:val="en-GB"/>
        </w:rPr>
        <w:t>those argument</w:t>
      </w:r>
      <w:r>
        <w:rPr>
          <w:rFonts w:ascii="Times New Roman" w:hAnsi="Times New Roman"/>
          <w:sz w:val="24"/>
          <w:szCs w:val="24"/>
          <w:lang w:val="en-GB"/>
        </w:rPr>
        <w:t>s</w:t>
      </w:r>
      <w:r w:rsidRPr="00813E2C">
        <w:rPr>
          <w:rFonts w:ascii="Times New Roman" w:hAnsi="Times New Roman"/>
          <w:sz w:val="24"/>
          <w:szCs w:val="24"/>
          <w:lang w:val="en-GB"/>
        </w:rPr>
        <w:t xml:space="preserve"> that make reference to the </w:t>
      </w:r>
      <w:r w:rsidRPr="007818F7">
        <w:rPr>
          <w:rFonts w:ascii="Times New Roman" w:hAnsi="Times New Roman"/>
          <w:i/>
          <w:sz w:val="24"/>
          <w:szCs w:val="24"/>
          <w:lang w:val="en-GB"/>
        </w:rPr>
        <w:t>sedes materie</w:t>
      </w:r>
      <w:r w:rsidRPr="00813E2C">
        <w:rPr>
          <w:rFonts w:ascii="Times New Roman" w:hAnsi="Times New Roman"/>
          <w:sz w:val="24"/>
          <w:szCs w:val="24"/>
          <w:lang w:val="en-GB"/>
        </w:rPr>
        <w:t>, that is, arguments that are based on the internal systematic structure of the Treaties, as designed by the legislator</w:t>
      </w:r>
      <w:r>
        <w:rPr>
          <w:rFonts w:ascii="Times New Roman" w:hAnsi="Times New Roman"/>
          <w:sz w:val="24"/>
          <w:szCs w:val="24"/>
          <w:lang w:val="en-GB"/>
        </w:rPr>
        <w:t>.</w:t>
      </w:r>
      <w:r w:rsidRPr="00813E2C">
        <w:rPr>
          <w:rStyle w:val="Rimandonotaapidipagina"/>
          <w:rFonts w:ascii="Times New Roman" w:hAnsi="Times New Roman"/>
          <w:iCs/>
          <w:sz w:val="24"/>
          <w:szCs w:val="24"/>
          <w:lang w:val="en-GB"/>
        </w:rPr>
        <w:footnoteReference w:id="43"/>
      </w:r>
    </w:p>
    <w:p w:rsidR="005E6612" w:rsidRPr="00813E2C" w:rsidRDefault="005E6612" w:rsidP="00B27D8E">
      <w:pPr>
        <w:spacing w:line="240" w:lineRule="auto"/>
        <w:jc w:val="both"/>
        <w:rPr>
          <w:rFonts w:ascii="Times New Roman" w:hAnsi="Times New Roman"/>
          <w:i/>
          <w:iCs/>
          <w:sz w:val="24"/>
          <w:szCs w:val="24"/>
          <w:lang w:val="en-GB"/>
        </w:rPr>
      </w:pPr>
      <w:r w:rsidRPr="00813E2C">
        <w:rPr>
          <w:rFonts w:ascii="Times New Roman" w:hAnsi="Times New Roman"/>
          <w:sz w:val="24"/>
          <w:szCs w:val="24"/>
          <w:lang w:val="en-GB"/>
        </w:rPr>
        <w:t xml:space="preserve">8. </w:t>
      </w:r>
      <w:r w:rsidRPr="00813E2C">
        <w:rPr>
          <w:rFonts w:ascii="Times New Roman" w:hAnsi="Times New Roman"/>
          <w:i/>
          <w:iCs/>
          <w:sz w:val="24"/>
          <w:szCs w:val="24"/>
          <w:lang w:val="en-GB"/>
        </w:rPr>
        <w:t>Harmonising with international law</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We found 14 cases in which the Court </w:t>
      </w:r>
      <w:r>
        <w:rPr>
          <w:rFonts w:ascii="Times New Roman" w:hAnsi="Times New Roman"/>
          <w:sz w:val="24"/>
          <w:szCs w:val="24"/>
          <w:lang w:val="en-GB"/>
        </w:rPr>
        <w:t xml:space="preserve">makes </w:t>
      </w:r>
      <w:r w:rsidRPr="00813E2C">
        <w:rPr>
          <w:rFonts w:ascii="Times New Roman" w:hAnsi="Times New Roman"/>
          <w:sz w:val="24"/>
          <w:szCs w:val="24"/>
          <w:lang w:val="en-GB"/>
        </w:rPr>
        <w:t xml:space="preserve">reference to international law sources in order to support the interpretation of the Treaty. The vast majority of references consist </w:t>
      </w:r>
      <w:r>
        <w:rPr>
          <w:rFonts w:ascii="Times New Roman" w:hAnsi="Times New Roman"/>
          <w:sz w:val="24"/>
          <w:szCs w:val="24"/>
          <w:lang w:val="en-GB"/>
        </w:rPr>
        <w:t>of</w:t>
      </w:r>
      <w:r w:rsidRPr="00813E2C">
        <w:rPr>
          <w:rFonts w:ascii="Times New Roman" w:hAnsi="Times New Roman"/>
          <w:sz w:val="24"/>
          <w:szCs w:val="24"/>
          <w:lang w:val="en-GB"/>
        </w:rPr>
        <w:t xml:space="preserve"> a literal or almost literal quote from the </w:t>
      </w:r>
      <w:r w:rsidRPr="00813E2C">
        <w:rPr>
          <w:rFonts w:ascii="Times New Roman" w:hAnsi="Times New Roman"/>
          <w:i/>
          <w:iCs/>
          <w:sz w:val="24"/>
          <w:szCs w:val="24"/>
          <w:lang w:val="en-GB"/>
        </w:rPr>
        <w:t>Nold</w:t>
      </w:r>
      <w:r w:rsidRPr="00813E2C">
        <w:rPr>
          <w:rFonts w:ascii="Times New Roman" w:hAnsi="Times New Roman"/>
          <w:sz w:val="24"/>
          <w:szCs w:val="24"/>
          <w:lang w:val="en-GB"/>
        </w:rPr>
        <w:t xml:space="preserve"> fo</w:t>
      </w:r>
      <w:r>
        <w:rPr>
          <w:rFonts w:ascii="Times New Roman" w:hAnsi="Times New Roman"/>
          <w:sz w:val="24"/>
          <w:szCs w:val="24"/>
          <w:lang w:val="en-GB"/>
        </w:rPr>
        <w:t>r</w:t>
      </w:r>
      <w:r w:rsidRPr="00813E2C">
        <w:rPr>
          <w:rFonts w:ascii="Times New Roman" w:hAnsi="Times New Roman"/>
          <w:sz w:val="24"/>
          <w:szCs w:val="24"/>
          <w:lang w:val="en-GB"/>
        </w:rPr>
        <w:t xml:space="preserve">mula: </w:t>
      </w:r>
    </w:p>
    <w:p w:rsidR="005E6612" w:rsidRPr="00735141" w:rsidRDefault="005E6612" w:rsidP="00735141">
      <w:pPr>
        <w:spacing w:line="240" w:lineRule="auto"/>
        <w:ind w:left="708"/>
        <w:jc w:val="both"/>
        <w:rPr>
          <w:rFonts w:ascii="Times New Roman" w:hAnsi="Times New Roman"/>
          <w:sz w:val="20"/>
          <w:szCs w:val="20"/>
          <w:lang w:val="en-GB"/>
        </w:rPr>
      </w:pPr>
      <w:r w:rsidRPr="00735141">
        <w:rPr>
          <w:rFonts w:ascii="Times New Roman" w:hAnsi="Times New Roman"/>
          <w:iCs/>
          <w:sz w:val="20"/>
          <w:szCs w:val="20"/>
          <w:lang w:val="en-GB"/>
        </w:rPr>
        <w:t>international treaties for the protection of human rights on which the Member States have collaborated or of which they are signatories can supply guidelines which should be followed within the framework of Community law.</w:t>
      </w:r>
      <w:r w:rsidRPr="00735141">
        <w:rPr>
          <w:rStyle w:val="Rimandonotaapidipagina"/>
          <w:rFonts w:ascii="Times New Roman" w:hAnsi="Times New Roman"/>
          <w:sz w:val="20"/>
          <w:szCs w:val="20"/>
          <w:lang w:val="en-GB"/>
        </w:rPr>
        <w:footnoteReference w:id="44"/>
      </w:r>
      <w:r w:rsidRPr="00735141">
        <w:rPr>
          <w:rFonts w:ascii="Times New Roman" w:hAnsi="Times New Roman"/>
          <w:sz w:val="20"/>
          <w:szCs w:val="20"/>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In six cases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w:t>
      </w:r>
      <w:r>
        <w:rPr>
          <w:rFonts w:ascii="Times New Roman" w:hAnsi="Times New Roman"/>
          <w:sz w:val="24"/>
          <w:szCs w:val="24"/>
          <w:lang w:val="en-GB"/>
        </w:rPr>
        <w:t xml:space="preserve">makes </w:t>
      </w:r>
      <w:r w:rsidRPr="00813E2C">
        <w:rPr>
          <w:rFonts w:ascii="Times New Roman" w:hAnsi="Times New Roman"/>
          <w:sz w:val="24"/>
          <w:szCs w:val="24"/>
          <w:lang w:val="en-GB"/>
        </w:rPr>
        <w:t>reference to the European Convention of Human Rights</w:t>
      </w:r>
      <w:r w:rsidRPr="00813E2C">
        <w:rPr>
          <w:rStyle w:val="Rimandonotaapidipagina"/>
          <w:rFonts w:ascii="Times New Roman" w:hAnsi="Times New Roman"/>
          <w:sz w:val="24"/>
          <w:szCs w:val="24"/>
          <w:lang w:val="en-GB"/>
        </w:rPr>
        <w:footnoteReference w:id="45"/>
      </w:r>
      <w:r w:rsidRPr="00813E2C">
        <w:rPr>
          <w:rFonts w:ascii="Times New Roman" w:hAnsi="Times New Roman"/>
          <w:sz w:val="24"/>
          <w:szCs w:val="24"/>
          <w:lang w:val="en-GB"/>
        </w:rPr>
        <w:t xml:space="preserve"> and in four cases we </w:t>
      </w:r>
      <w:r>
        <w:rPr>
          <w:rFonts w:ascii="Times New Roman" w:hAnsi="Times New Roman"/>
          <w:sz w:val="24"/>
          <w:szCs w:val="24"/>
          <w:lang w:val="en-GB"/>
        </w:rPr>
        <w:t xml:space="preserve">found </w:t>
      </w:r>
      <w:r w:rsidRPr="00813E2C">
        <w:rPr>
          <w:rFonts w:ascii="Times New Roman" w:hAnsi="Times New Roman"/>
          <w:sz w:val="24"/>
          <w:szCs w:val="24"/>
          <w:lang w:val="en-GB"/>
        </w:rPr>
        <w:t>references to the case law of the E</w:t>
      </w:r>
      <w:r>
        <w:rPr>
          <w:rFonts w:ascii="Times New Roman" w:hAnsi="Times New Roman"/>
          <w:sz w:val="24"/>
          <w:szCs w:val="24"/>
          <w:lang w:val="en-GB"/>
        </w:rPr>
        <w:t>uropean Court of Human Rights.</w:t>
      </w:r>
      <w:r w:rsidRPr="00813E2C">
        <w:rPr>
          <w:rStyle w:val="Rimandonotaapidipagina"/>
          <w:rFonts w:ascii="Times New Roman" w:hAnsi="Times New Roman"/>
          <w:sz w:val="24"/>
          <w:szCs w:val="24"/>
          <w:lang w:val="en-GB"/>
        </w:rPr>
        <w:footnoteReference w:id="46"/>
      </w:r>
      <w:r w:rsidRPr="00813E2C">
        <w:rPr>
          <w:rFonts w:ascii="Times New Roman" w:hAnsi="Times New Roman"/>
          <w:sz w:val="24"/>
          <w:szCs w:val="24"/>
          <w:lang w:val="en-GB"/>
        </w:rPr>
        <w:t xml:space="preserve"> </w:t>
      </w:r>
      <w:r w:rsidRPr="00813E2C">
        <w:rPr>
          <w:rFonts w:ascii="Times New Roman" w:hAnsi="Times New Roman"/>
          <w:sz w:val="24"/>
          <w:szCs w:val="24"/>
          <w:lang w:val="en-GB"/>
        </w:rPr>
        <w:lastRenderedPageBreak/>
        <w:t xml:space="preserve">Moreover, </w:t>
      </w:r>
      <w:r>
        <w:rPr>
          <w:rFonts w:ascii="Times New Roman" w:hAnsi="Times New Roman"/>
          <w:sz w:val="24"/>
          <w:szCs w:val="24"/>
          <w:lang w:val="en-GB"/>
        </w:rPr>
        <w:t xml:space="preserve">we found </w:t>
      </w:r>
      <w:r w:rsidRPr="00813E2C">
        <w:rPr>
          <w:rFonts w:ascii="Times New Roman" w:hAnsi="Times New Roman"/>
          <w:sz w:val="24"/>
          <w:szCs w:val="24"/>
          <w:lang w:val="en-GB"/>
        </w:rPr>
        <w:t>reference</w:t>
      </w:r>
      <w:r>
        <w:rPr>
          <w:rFonts w:ascii="Times New Roman" w:hAnsi="Times New Roman"/>
          <w:sz w:val="24"/>
          <w:szCs w:val="24"/>
          <w:lang w:val="en-GB"/>
        </w:rPr>
        <w:t xml:space="preserve">s </w:t>
      </w:r>
      <w:r w:rsidRPr="00813E2C">
        <w:rPr>
          <w:rFonts w:ascii="Times New Roman" w:hAnsi="Times New Roman"/>
          <w:sz w:val="24"/>
          <w:szCs w:val="24"/>
          <w:lang w:val="en-GB"/>
        </w:rPr>
        <w:t>to International Labour Organi</w:t>
      </w:r>
      <w:r>
        <w:rPr>
          <w:rFonts w:ascii="Times New Roman" w:hAnsi="Times New Roman"/>
          <w:sz w:val="24"/>
          <w:szCs w:val="24"/>
          <w:lang w:val="en-GB"/>
        </w:rPr>
        <w:t>s</w:t>
      </w:r>
      <w:r w:rsidRPr="00813E2C">
        <w:rPr>
          <w:rFonts w:ascii="Times New Roman" w:hAnsi="Times New Roman"/>
          <w:sz w:val="24"/>
          <w:szCs w:val="24"/>
          <w:lang w:val="en-GB"/>
        </w:rPr>
        <w:t>ation</w:t>
      </w:r>
      <w:r>
        <w:rPr>
          <w:rFonts w:ascii="Times New Roman" w:hAnsi="Times New Roman"/>
          <w:sz w:val="24"/>
          <w:szCs w:val="24"/>
          <w:lang w:val="en-GB"/>
        </w:rPr>
        <w:t xml:space="preserve"> </w:t>
      </w:r>
      <w:r w:rsidRPr="00813E2C">
        <w:rPr>
          <w:rFonts w:ascii="Times New Roman" w:hAnsi="Times New Roman"/>
          <w:sz w:val="24"/>
          <w:szCs w:val="24"/>
          <w:lang w:val="en-GB"/>
        </w:rPr>
        <w:t>conventions</w:t>
      </w:r>
      <w:r w:rsidRPr="00813E2C">
        <w:rPr>
          <w:rStyle w:val="Rimandonotaapidipagina"/>
          <w:rFonts w:ascii="Times New Roman" w:hAnsi="Times New Roman"/>
          <w:sz w:val="24"/>
          <w:szCs w:val="24"/>
          <w:lang w:val="en-GB"/>
        </w:rPr>
        <w:footnoteReference w:id="47"/>
      </w:r>
      <w:r w:rsidRPr="00813E2C">
        <w:rPr>
          <w:rFonts w:ascii="Times New Roman" w:hAnsi="Times New Roman"/>
          <w:sz w:val="24"/>
          <w:szCs w:val="24"/>
          <w:lang w:val="en-GB"/>
        </w:rPr>
        <w:t xml:space="preserve"> and to general principles of international law and customary international law</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48"/>
      </w:r>
      <w:r w:rsidRPr="00813E2C">
        <w:rPr>
          <w:rFonts w:ascii="Times New Roman" w:hAnsi="Times New Roman"/>
          <w:sz w:val="24"/>
          <w:szCs w:val="24"/>
          <w:lang w:val="en-GB"/>
        </w:rPr>
        <w:t xml:space="preserve"> </w:t>
      </w:r>
      <w:r>
        <w:rPr>
          <w:rFonts w:ascii="Times New Roman" w:hAnsi="Times New Roman"/>
          <w:sz w:val="24"/>
          <w:szCs w:val="24"/>
          <w:lang w:val="en-GB"/>
        </w:rPr>
        <w:t>It is worth noting, however, that p</w:t>
      </w:r>
      <w:r w:rsidRPr="00813E2C">
        <w:rPr>
          <w:rFonts w:ascii="Times New Roman" w:hAnsi="Times New Roman"/>
          <w:sz w:val="24"/>
          <w:szCs w:val="24"/>
          <w:lang w:val="en-GB"/>
        </w:rPr>
        <w:t xml:space="preserve">articularly in the cases in which the Court mentions the </w:t>
      </w:r>
      <w:r w:rsidRPr="00813E2C">
        <w:rPr>
          <w:rFonts w:ascii="Times New Roman" w:hAnsi="Times New Roman"/>
          <w:i/>
          <w:sz w:val="24"/>
          <w:szCs w:val="24"/>
          <w:lang w:val="en-GB"/>
        </w:rPr>
        <w:t>Nold</w:t>
      </w:r>
      <w:r w:rsidRPr="00813E2C">
        <w:rPr>
          <w:rFonts w:ascii="Times New Roman" w:hAnsi="Times New Roman"/>
          <w:sz w:val="24"/>
          <w:szCs w:val="24"/>
          <w:lang w:val="en-GB"/>
        </w:rPr>
        <w:t xml:space="preserve"> formula, it is far from obvious whether the reference to </w:t>
      </w:r>
      <w:r>
        <w:rPr>
          <w:rFonts w:ascii="Times New Roman" w:hAnsi="Times New Roman"/>
          <w:sz w:val="24"/>
          <w:szCs w:val="24"/>
          <w:lang w:val="en-GB"/>
        </w:rPr>
        <w:t xml:space="preserve">international legal material </w:t>
      </w:r>
      <w:r w:rsidRPr="00813E2C">
        <w:rPr>
          <w:rFonts w:ascii="Times New Roman" w:hAnsi="Times New Roman"/>
          <w:sz w:val="24"/>
          <w:szCs w:val="24"/>
          <w:lang w:val="en-GB"/>
        </w:rPr>
        <w:t>has any direct bearing on the outcome of the case</w:t>
      </w:r>
      <w:r>
        <w:rPr>
          <w:rFonts w:ascii="Times New Roman" w:hAnsi="Times New Roman"/>
          <w:sz w:val="24"/>
          <w:szCs w:val="24"/>
          <w:lang w:val="en-GB"/>
        </w:rPr>
        <w:t>,</w:t>
      </w:r>
      <w:r w:rsidRPr="00813E2C">
        <w:rPr>
          <w:rFonts w:ascii="Times New Roman" w:hAnsi="Times New Roman"/>
          <w:sz w:val="24"/>
          <w:szCs w:val="24"/>
          <w:lang w:val="en-GB"/>
        </w:rPr>
        <w:t xml:space="preserve"> or is merely rhetorical and declamatory in nature.</w:t>
      </w:r>
    </w:p>
    <w:p w:rsidR="005E6612" w:rsidRPr="00813E2C" w:rsidRDefault="005E6612" w:rsidP="00B27D8E">
      <w:pPr>
        <w:spacing w:line="240" w:lineRule="auto"/>
        <w:jc w:val="both"/>
        <w:rPr>
          <w:rFonts w:ascii="Times New Roman" w:hAnsi="Times New Roman"/>
          <w:i/>
          <w:iCs/>
          <w:sz w:val="24"/>
          <w:szCs w:val="24"/>
          <w:lang w:val="en-GB"/>
        </w:rPr>
      </w:pPr>
      <w:r w:rsidRPr="00813E2C">
        <w:rPr>
          <w:rFonts w:ascii="Times New Roman" w:hAnsi="Times New Roman"/>
          <w:sz w:val="24"/>
          <w:szCs w:val="24"/>
          <w:lang w:val="en-GB"/>
        </w:rPr>
        <w:t xml:space="preserve">9. </w:t>
      </w:r>
      <w:r w:rsidRPr="00813E2C">
        <w:rPr>
          <w:rFonts w:ascii="Times New Roman" w:hAnsi="Times New Roman"/>
          <w:i/>
          <w:iCs/>
          <w:sz w:val="24"/>
          <w:szCs w:val="24"/>
          <w:lang w:val="en-GB"/>
        </w:rPr>
        <w:t>Precedents</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The Court has made reference to its previous case</w:t>
      </w:r>
      <w:r>
        <w:rPr>
          <w:rFonts w:ascii="Times New Roman" w:hAnsi="Times New Roman"/>
          <w:sz w:val="24"/>
          <w:szCs w:val="24"/>
          <w:lang w:val="en-GB"/>
        </w:rPr>
        <w:t xml:space="preserve"> </w:t>
      </w:r>
      <w:r w:rsidRPr="00813E2C">
        <w:rPr>
          <w:rFonts w:ascii="Times New Roman" w:hAnsi="Times New Roman"/>
          <w:sz w:val="24"/>
          <w:szCs w:val="24"/>
          <w:lang w:val="en-GB"/>
        </w:rPr>
        <w:t xml:space="preserve">law since the very beginning of its activity: the first example can be found </w:t>
      </w:r>
      <w:r>
        <w:rPr>
          <w:rFonts w:ascii="Times New Roman" w:hAnsi="Times New Roman"/>
          <w:sz w:val="24"/>
          <w:szCs w:val="24"/>
          <w:lang w:val="en-GB"/>
        </w:rPr>
        <w:t>as early as</w:t>
      </w:r>
      <w:r w:rsidRPr="00813E2C">
        <w:rPr>
          <w:rFonts w:ascii="Times New Roman" w:hAnsi="Times New Roman"/>
          <w:sz w:val="24"/>
          <w:szCs w:val="24"/>
          <w:lang w:val="en-GB"/>
        </w:rPr>
        <w:t xml:space="preserve"> in a case of 1955</w:t>
      </w:r>
      <w:r w:rsidRPr="00813E2C">
        <w:rPr>
          <w:rStyle w:val="Rimandonotaapidipagina"/>
          <w:rFonts w:ascii="Times New Roman" w:hAnsi="Times New Roman"/>
          <w:sz w:val="24"/>
          <w:szCs w:val="24"/>
          <w:lang w:val="en-GB"/>
        </w:rPr>
        <w:footnoteReference w:id="49"/>
      </w:r>
      <w:r w:rsidRPr="00813E2C">
        <w:rPr>
          <w:rFonts w:ascii="Times New Roman" w:hAnsi="Times New Roman"/>
          <w:sz w:val="24"/>
          <w:szCs w:val="24"/>
          <w:lang w:val="en-GB"/>
        </w:rPr>
        <w:t xml:space="preserve"> and in 1956 the Court quoted a precedent as authority for the proposition that certain provisions of the ECSC Treaty were of a </w:t>
      </w:r>
      <w:r>
        <w:rPr>
          <w:rFonts w:ascii="Times New Roman" w:hAnsi="Times New Roman"/>
          <w:sz w:val="24"/>
          <w:szCs w:val="24"/>
          <w:lang w:val="en-GB"/>
        </w:rPr>
        <w:t>‘</w:t>
      </w:r>
      <w:r w:rsidRPr="00813E2C">
        <w:rPr>
          <w:rFonts w:ascii="Times New Roman" w:hAnsi="Times New Roman"/>
          <w:sz w:val="24"/>
          <w:szCs w:val="24"/>
          <w:lang w:val="en-GB"/>
        </w:rPr>
        <w:t>fundamental character</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50"/>
      </w:r>
      <w:r w:rsidRPr="00813E2C">
        <w:rPr>
          <w:rFonts w:ascii="Times New Roman" w:hAnsi="Times New Roman"/>
          <w:sz w:val="24"/>
          <w:szCs w:val="24"/>
          <w:lang w:val="en-GB"/>
        </w:rPr>
        <w:t xml:space="preserve"> References to its case</w:t>
      </w:r>
      <w:r>
        <w:rPr>
          <w:rFonts w:ascii="Times New Roman" w:hAnsi="Times New Roman"/>
          <w:sz w:val="24"/>
          <w:szCs w:val="24"/>
          <w:lang w:val="en-GB"/>
        </w:rPr>
        <w:t xml:space="preserve"> </w:t>
      </w:r>
      <w:r w:rsidRPr="00813E2C">
        <w:rPr>
          <w:rFonts w:ascii="Times New Roman" w:hAnsi="Times New Roman"/>
          <w:sz w:val="24"/>
          <w:szCs w:val="24"/>
          <w:lang w:val="en-GB"/>
        </w:rPr>
        <w:t xml:space="preserve">law became increasingly frequent in the 1970s and especially in the 1980s, possibly as </w:t>
      </w:r>
      <w:r>
        <w:rPr>
          <w:rFonts w:ascii="Times New Roman" w:hAnsi="Times New Roman"/>
          <w:sz w:val="24"/>
          <w:szCs w:val="24"/>
          <w:lang w:val="en-GB"/>
        </w:rPr>
        <w:t xml:space="preserve">a </w:t>
      </w:r>
      <w:r w:rsidRPr="00813E2C">
        <w:rPr>
          <w:rFonts w:ascii="Times New Roman" w:hAnsi="Times New Roman"/>
          <w:sz w:val="24"/>
          <w:szCs w:val="24"/>
          <w:lang w:val="en-GB"/>
        </w:rPr>
        <w:t>consequence of the accession of the United Kingdom and Ireland in 1973</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51"/>
      </w:r>
      <w:r w:rsidRPr="00813E2C">
        <w:rPr>
          <w:rFonts w:ascii="Times New Roman" w:hAnsi="Times New Roman"/>
          <w:sz w:val="24"/>
          <w:szCs w:val="24"/>
          <w:lang w:val="en-GB"/>
        </w:rPr>
        <w:t xml:space="preserve"> Today the practice of relying on precedents is firmly established</w:t>
      </w:r>
      <w:r>
        <w:rPr>
          <w:rFonts w:ascii="Times New Roman" w:hAnsi="Times New Roman"/>
          <w:sz w:val="24"/>
          <w:szCs w:val="24"/>
          <w:lang w:val="en-GB"/>
        </w:rPr>
        <w:t>. A</w:t>
      </w:r>
      <w:r w:rsidRPr="00813E2C">
        <w:rPr>
          <w:rFonts w:ascii="Times New Roman" w:hAnsi="Times New Roman"/>
          <w:sz w:val="24"/>
          <w:szCs w:val="24"/>
          <w:lang w:val="en-GB"/>
        </w:rPr>
        <w:t>lmost every decision of the Court contains extensive references to the case</w:t>
      </w:r>
      <w:r>
        <w:rPr>
          <w:rFonts w:ascii="Times New Roman" w:hAnsi="Times New Roman"/>
          <w:sz w:val="24"/>
          <w:szCs w:val="24"/>
          <w:lang w:val="en-GB"/>
        </w:rPr>
        <w:t xml:space="preserve"> </w:t>
      </w:r>
      <w:r w:rsidRPr="00813E2C">
        <w:rPr>
          <w:rFonts w:ascii="Times New Roman" w:hAnsi="Times New Roman"/>
          <w:sz w:val="24"/>
          <w:szCs w:val="24"/>
          <w:lang w:val="en-GB"/>
        </w:rPr>
        <w:t xml:space="preserve">law and copy-and-paste quotations from earlier </w:t>
      </w:r>
      <w:r>
        <w:rPr>
          <w:rFonts w:ascii="Times New Roman" w:hAnsi="Times New Roman"/>
          <w:sz w:val="24"/>
          <w:szCs w:val="24"/>
          <w:lang w:val="en-GB"/>
        </w:rPr>
        <w:t>judgme</w:t>
      </w:r>
      <w:r w:rsidRPr="00813E2C">
        <w:rPr>
          <w:rFonts w:ascii="Times New Roman" w:hAnsi="Times New Roman"/>
          <w:sz w:val="24"/>
          <w:szCs w:val="24"/>
          <w:lang w:val="en-GB"/>
        </w:rPr>
        <w:t xml:space="preserve">nts. </w:t>
      </w:r>
    </w:p>
    <w:p w:rsidR="005E6612" w:rsidRPr="00813E2C" w:rsidRDefault="005E6612" w:rsidP="00B27D8E">
      <w:pPr>
        <w:spacing w:line="240" w:lineRule="auto"/>
        <w:jc w:val="both"/>
        <w:rPr>
          <w:rFonts w:ascii="Times New Roman" w:hAnsi="Times New Roman"/>
          <w:iCs/>
          <w:sz w:val="24"/>
          <w:szCs w:val="24"/>
          <w:lang w:val="en-GB"/>
        </w:rPr>
      </w:pPr>
      <w:r w:rsidRPr="00813E2C">
        <w:rPr>
          <w:rFonts w:ascii="Times New Roman" w:hAnsi="Times New Roman"/>
          <w:sz w:val="24"/>
          <w:szCs w:val="24"/>
          <w:lang w:val="en-GB"/>
        </w:rPr>
        <w:t xml:space="preserve">Such evolution is reflected in the analysis of the 40 </w:t>
      </w:r>
      <w:r>
        <w:rPr>
          <w:rFonts w:ascii="Times New Roman" w:hAnsi="Times New Roman"/>
          <w:sz w:val="24"/>
          <w:szCs w:val="24"/>
          <w:lang w:val="en-GB"/>
        </w:rPr>
        <w:t>important</w:t>
      </w:r>
      <w:r w:rsidRPr="00813E2C">
        <w:rPr>
          <w:rFonts w:ascii="Times New Roman" w:hAnsi="Times New Roman"/>
          <w:sz w:val="24"/>
          <w:szCs w:val="24"/>
          <w:lang w:val="en-GB"/>
        </w:rPr>
        <w:t xml:space="preserve"> </w:t>
      </w:r>
      <w:r>
        <w:rPr>
          <w:rFonts w:ascii="Times New Roman" w:hAnsi="Times New Roman"/>
          <w:sz w:val="24"/>
          <w:szCs w:val="24"/>
          <w:lang w:val="en-GB"/>
        </w:rPr>
        <w:t>judgme</w:t>
      </w:r>
      <w:r w:rsidRPr="00813E2C">
        <w:rPr>
          <w:rFonts w:ascii="Times New Roman" w:hAnsi="Times New Roman"/>
          <w:sz w:val="24"/>
          <w:szCs w:val="24"/>
          <w:lang w:val="en-GB"/>
        </w:rPr>
        <w:t xml:space="preserve">nts that we have undertaken. The first argument based on precedents that we found </w:t>
      </w:r>
      <w:r>
        <w:rPr>
          <w:rFonts w:ascii="Times New Roman" w:hAnsi="Times New Roman"/>
          <w:sz w:val="24"/>
          <w:szCs w:val="24"/>
          <w:lang w:val="en-GB"/>
        </w:rPr>
        <w:t xml:space="preserve">is </w:t>
      </w:r>
      <w:r w:rsidRPr="00813E2C">
        <w:rPr>
          <w:rFonts w:ascii="Times New Roman" w:hAnsi="Times New Roman"/>
          <w:sz w:val="24"/>
          <w:szCs w:val="24"/>
          <w:lang w:val="en-GB"/>
        </w:rPr>
        <w:t xml:space="preserve">a generic and unnamed reference to the previous case law in </w:t>
      </w:r>
      <w:r w:rsidRPr="00813E2C">
        <w:rPr>
          <w:rFonts w:ascii="Times New Roman" w:hAnsi="Times New Roman"/>
          <w:i/>
          <w:iCs/>
          <w:sz w:val="24"/>
          <w:szCs w:val="24"/>
          <w:lang w:val="en-GB"/>
        </w:rPr>
        <w:t xml:space="preserve">Defrenne </w:t>
      </w:r>
      <w:r w:rsidRPr="00813E2C">
        <w:rPr>
          <w:rFonts w:ascii="Times New Roman" w:hAnsi="Times New Roman"/>
          <w:sz w:val="24"/>
          <w:szCs w:val="24"/>
          <w:lang w:val="en-GB"/>
        </w:rPr>
        <w:t>(1976)</w:t>
      </w:r>
      <w:r w:rsidRPr="00813E2C">
        <w:rPr>
          <w:rStyle w:val="Rimandonotaapidipagina"/>
          <w:rFonts w:ascii="Times New Roman" w:hAnsi="Times New Roman"/>
          <w:sz w:val="24"/>
          <w:szCs w:val="24"/>
          <w:lang w:val="en-GB"/>
        </w:rPr>
        <w:footnoteReference w:id="52"/>
      </w:r>
      <w:r>
        <w:rPr>
          <w:rFonts w:ascii="Times New Roman" w:hAnsi="Times New Roman"/>
          <w:sz w:val="24"/>
          <w:szCs w:val="24"/>
          <w:lang w:val="en-GB"/>
        </w:rPr>
        <w:t>, and</w:t>
      </w:r>
      <w:r w:rsidRPr="00813E2C">
        <w:rPr>
          <w:rFonts w:ascii="Times New Roman" w:hAnsi="Times New Roman"/>
          <w:sz w:val="24"/>
          <w:szCs w:val="24"/>
          <w:lang w:val="en-GB"/>
        </w:rPr>
        <w:t xml:space="preserve"> the first explicit reference is in </w:t>
      </w:r>
      <w:r w:rsidRPr="00813E2C">
        <w:rPr>
          <w:rFonts w:ascii="Times New Roman" w:hAnsi="Times New Roman"/>
          <w:i/>
          <w:iCs/>
          <w:sz w:val="24"/>
          <w:szCs w:val="24"/>
          <w:lang w:val="en-GB"/>
        </w:rPr>
        <w:t>Ratti</w:t>
      </w:r>
      <w:r w:rsidRPr="00813E2C">
        <w:rPr>
          <w:rFonts w:ascii="Times New Roman" w:hAnsi="Times New Roman"/>
          <w:sz w:val="24"/>
          <w:szCs w:val="24"/>
          <w:lang w:val="en-GB"/>
        </w:rPr>
        <w:t xml:space="preserve"> (1979)</w:t>
      </w:r>
      <w:r>
        <w:rPr>
          <w:rFonts w:ascii="Times New Roman" w:hAnsi="Times New Roman"/>
          <w:sz w:val="24"/>
          <w:szCs w:val="24"/>
          <w:lang w:val="en-GB"/>
        </w:rPr>
        <w:t>.</w:t>
      </w:r>
      <w:r w:rsidRPr="00813E2C">
        <w:rPr>
          <w:rStyle w:val="Rimandonotaapidipagina"/>
          <w:rFonts w:ascii="Times New Roman" w:hAnsi="Times New Roman"/>
          <w:iCs/>
          <w:sz w:val="24"/>
          <w:szCs w:val="24"/>
          <w:lang w:val="en-GB"/>
        </w:rPr>
        <w:footnoteReference w:id="53"/>
      </w:r>
      <w:r w:rsidRPr="00813E2C">
        <w:rPr>
          <w:rFonts w:ascii="Times New Roman" w:hAnsi="Times New Roman"/>
          <w:iCs/>
          <w:sz w:val="24"/>
          <w:szCs w:val="24"/>
          <w:lang w:val="en-GB"/>
        </w:rPr>
        <w:t xml:space="preserve"> From </w:t>
      </w:r>
      <w:r w:rsidRPr="00813E2C">
        <w:rPr>
          <w:rFonts w:ascii="Times New Roman" w:hAnsi="Times New Roman"/>
          <w:i/>
          <w:sz w:val="24"/>
          <w:szCs w:val="24"/>
          <w:lang w:val="en-GB"/>
        </w:rPr>
        <w:t>Ratti</w:t>
      </w:r>
      <w:r w:rsidRPr="00813E2C">
        <w:rPr>
          <w:rFonts w:ascii="Times New Roman" w:hAnsi="Times New Roman"/>
          <w:iCs/>
          <w:sz w:val="24"/>
          <w:szCs w:val="24"/>
          <w:lang w:val="en-GB"/>
        </w:rPr>
        <w:t xml:space="preserve"> onwards we found only two </w:t>
      </w:r>
      <w:r>
        <w:rPr>
          <w:rFonts w:ascii="Times New Roman" w:hAnsi="Times New Roman"/>
          <w:iCs/>
          <w:sz w:val="24"/>
          <w:szCs w:val="24"/>
          <w:lang w:val="en-GB"/>
        </w:rPr>
        <w:t>judgme</w:t>
      </w:r>
      <w:r w:rsidRPr="00813E2C">
        <w:rPr>
          <w:rFonts w:ascii="Times New Roman" w:hAnsi="Times New Roman"/>
          <w:iCs/>
          <w:sz w:val="24"/>
          <w:szCs w:val="24"/>
          <w:lang w:val="en-GB"/>
        </w:rPr>
        <w:t>nts in which the Court d</w:t>
      </w:r>
      <w:r>
        <w:rPr>
          <w:rFonts w:ascii="Times New Roman" w:hAnsi="Times New Roman"/>
          <w:iCs/>
          <w:sz w:val="24"/>
          <w:szCs w:val="24"/>
          <w:lang w:val="en-GB"/>
        </w:rPr>
        <w:t xml:space="preserve">oes </w:t>
      </w:r>
      <w:r w:rsidRPr="00813E2C">
        <w:rPr>
          <w:rFonts w:ascii="Times New Roman" w:hAnsi="Times New Roman"/>
          <w:iCs/>
          <w:sz w:val="24"/>
          <w:szCs w:val="24"/>
          <w:lang w:val="en-GB"/>
        </w:rPr>
        <w:t xml:space="preserve">not </w:t>
      </w:r>
      <w:r>
        <w:rPr>
          <w:rFonts w:ascii="Times New Roman" w:hAnsi="Times New Roman"/>
          <w:iCs/>
          <w:sz w:val="24"/>
          <w:szCs w:val="24"/>
          <w:lang w:val="en-GB"/>
        </w:rPr>
        <w:t xml:space="preserve">make </w:t>
      </w:r>
      <w:r w:rsidRPr="00813E2C">
        <w:rPr>
          <w:rFonts w:ascii="Times New Roman" w:hAnsi="Times New Roman"/>
          <w:iCs/>
          <w:sz w:val="24"/>
          <w:szCs w:val="24"/>
          <w:lang w:val="en-GB"/>
        </w:rPr>
        <w:t>explicit reference to its case</w:t>
      </w:r>
      <w:r>
        <w:rPr>
          <w:rFonts w:ascii="Times New Roman" w:hAnsi="Times New Roman"/>
          <w:iCs/>
          <w:sz w:val="24"/>
          <w:szCs w:val="24"/>
          <w:lang w:val="en-GB"/>
        </w:rPr>
        <w:t xml:space="preserve"> </w:t>
      </w:r>
      <w:r w:rsidRPr="00813E2C">
        <w:rPr>
          <w:rFonts w:ascii="Times New Roman" w:hAnsi="Times New Roman"/>
          <w:iCs/>
          <w:sz w:val="24"/>
          <w:szCs w:val="24"/>
          <w:lang w:val="en-GB"/>
        </w:rPr>
        <w:t>law</w:t>
      </w:r>
      <w:r w:rsidRPr="00813E2C">
        <w:rPr>
          <w:rStyle w:val="Rimandonotaapidipagina"/>
          <w:rFonts w:ascii="Times New Roman" w:hAnsi="Times New Roman"/>
          <w:iCs/>
          <w:sz w:val="24"/>
          <w:szCs w:val="24"/>
          <w:lang w:val="en-GB"/>
        </w:rPr>
        <w:footnoteReference w:id="54"/>
      </w:r>
      <w:r>
        <w:rPr>
          <w:rFonts w:ascii="Times New Roman" w:hAnsi="Times New Roman"/>
          <w:iCs/>
          <w:sz w:val="24"/>
          <w:szCs w:val="24"/>
          <w:lang w:val="en-GB"/>
        </w:rPr>
        <w:t xml:space="preserve"> </w:t>
      </w:r>
      <w:r w:rsidRPr="00813E2C">
        <w:rPr>
          <w:rFonts w:ascii="Times New Roman" w:hAnsi="Times New Roman"/>
          <w:iCs/>
          <w:sz w:val="24"/>
          <w:szCs w:val="24"/>
          <w:lang w:val="en-GB"/>
        </w:rPr>
        <w:t>while all other cases contain extensive and detailed references to previous rulings. In one case the Court (almost) explicitly overruled a previous decision</w:t>
      </w:r>
      <w:r>
        <w:rPr>
          <w:rFonts w:ascii="Times New Roman" w:hAnsi="Times New Roman"/>
          <w:iCs/>
          <w:sz w:val="24"/>
          <w:szCs w:val="24"/>
          <w:lang w:val="en-GB"/>
        </w:rPr>
        <w:t>.</w:t>
      </w:r>
      <w:r w:rsidRPr="00813E2C">
        <w:rPr>
          <w:rStyle w:val="Rimandonotaapidipagina"/>
          <w:rFonts w:ascii="Times New Roman" w:hAnsi="Times New Roman"/>
          <w:iCs/>
          <w:sz w:val="24"/>
          <w:szCs w:val="24"/>
          <w:lang w:val="en-GB"/>
        </w:rPr>
        <w:footnoteReference w:id="55"/>
      </w:r>
      <w:r w:rsidRPr="00813E2C">
        <w:rPr>
          <w:rFonts w:ascii="Times New Roman" w:hAnsi="Times New Roman"/>
          <w:iCs/>
          <w:sz w:val="24"/>
          <w:szCs w:val="24"/>
          <w:lang w:val="en-GB"/>
        </w:rPr>
        <w:t xml:space="preserve"> Overall we found 27 </w:t>
      </w:r>
      <w:r>
        <w:rPr>
          <w:rFonts w:ascii="Times New Roman" w:hAnsi="Times New Roman"/>
          <w:iCs/>
          <w:sz w:val="24"/>
          <w:szCs w:val="24"/>
          <w:lang w:val="en-GB"/>
        </w:rPr>
        <w:t>judgme</w:t>
      </w:r>
      <w:r w:rsidRPr="00813E2C">
        <w:rPr>
          <w:rFonts w:ascii="Times New Roman" w:hAnsi="Times New Roman"/>
          <w:iCs/>
          <w:sz w:val="24"/>
          <w:szCs w:val="24"/>
          <w:lang w:val="en-GB"/>
        </w:rPr>
        <w:t xml:space="preserve">nts in which the </w:t>
      </w:r>
      <w:r>
        <w:rPr>
          <w:rFonts w:ascii="Times New Roman" w:hAnsi="Times New Roman"/>
          <w:iCs/>
          <w:sz w:val="24"/>
          <w:szCs w:val="24"/>
          <w:lang w:val="en-GB"/>
        </w:rPr>
        <w:t xml:space="preserve">Court employs the </w:t>
      </w:r>
      <w:r w:rsidRPr="00813E2C">
        <w:rPr>
          <w:rFonts w:ascii="Times New Roman" w:hAnsi="Times New Roman"/>
          <w:iCs/>
          <w:sz w:val="24"/>
          <w:szCs w:val="24"/>
          <w:lang w:val="en-GB"/>
        </w:rPr>
        <w:t>argument from precedents.</w:t>
      </w:r>
    </w:p>
    <w:p w:rsidR="005E6612" w:rsidRPr="00813E2C" w:rsidRDefault="005E6612" w:rsidP="00B27D8E">
      <w:pPr>
        <w:spacing w:line="240" w:lineRule="auto"/>
        <w:jc w:val="both"/>
        <w:rPr>
          <w:rFonts w:ascii="Times New Roman" w:hAnsi="Times New Roman"/>
          <w:i/>
          <w:iCs/>
          <w:sz w:val="24"/>
          <w:szCs w:val="24"/>
          <w:shd w:val="clear" w:color="auto" w:fill="FFFFFF"/>
          <w:lang w:val="en-GB"/>
        </w:rPr>
      </w:pPr>
      <w:r w:rsidRPr="00813E2C">
        <w:rPr>
          <w:rFonts w:ascii="Times New Roman" w:hAnsi="Times New Roman"/>
          <w:sz w:val="24"/>
          <w:szCs w:val="24"/>
          <w:shd w:val="clear" w:color="auto" w:fill="FFFFFF"/>
          <w:lang w:val="en-GB"/>
        </w:rPr>
        <w:t xml:space="preserve">10. </w:t>
      </w:r>
      <w:r w:rsidRPr="00813E2C">
        <w:rPr>
          <w:rFonts w:ascii="Times New Roman" w:hAnsi="Times New Roman"/>
          <w:i/>
          <w:iCs/>
          <w:sz w:val="24"/>
          <w:szCs w:val="24"/>
          <w:shd w:val="clear" w:color="auto" w:fill="FFFFFF"/>
          <w:lang w:val="en-GB"/>
        </w:rPr>
        <w:t>Implicit concepts and principles</w:t>
      </w:r>
    </w:p>
    <w:p w:rsidR="005E6612" w:rsidRDefault="005E6612" w:rsidP="00B27D8E">
      <w:pPr>
        <w:spacing w:line="240" w:lineRule="auto"/>
        <w:jc w:val="both"/>
        <w:rPr>
          <w:rFonts w:ascii="Times New Roman" w:hAnsi="Times New Roman"/>
          <w:sz w:val="24"/>
          <w:szCs w:val="24"/>
          <w:shd w:val="clear" w:color="auto" w:fill="FFFFFF"/>
          <w:lang w:val="en-GB"/>
        </w:rPr>
      </w:pPr>
      <w:r w:rsidRPr="00813E2C">
        <w:rPr>
          <w:rFonts w:ascii="Times New Roman" w:hAnsi="Times New Roman"/>
          <w:sz w:val="24"/>
          <w:szCs w:val="24"/>
          <w:shd w:val="clear" w:color="auto" w:fill="FFFFFF"/>
          <w:lang w:val="en-GB"/>
        </w:rPr>
        <w:t xml:space="preserve">We found 20 </w:t>
      </w:r>
      <w:r>
        <w:rPr>
          <w:rFonts w:ascii="Times New Roman" w:hAnsi="Times New Roman"/>
          <w:sz w:val="24"/>
          <w:szCs w:val="24"/>
          <w:shd w:val="clear" w:color="auto" w:fill="FFFFFF"/>
          <w:lang w:val="en-GB"/>
        </w:rPr>
        <w:t>judgme</w:t>
      </w:r>
      <w:r w:rsidRPr="00813E2C">
        <w:rPr>
          <w:rFonts w:ascii="Times New Roman" w:hAnsi="Times New Roman"/>
          <w:sz w:val="24"/>
          <w:szCs w:val="24"/>
          <w:shd w:val="clear" w:color="auto" w:fill="FFFFFF"/>
          <w:lang w:val="en-GB"/>
        </w:rPr>
        <w:t xml:space="preserve">nts invoking concepts and principles not mentioned in the text of the Treaties as operative arguments supporting a certain constitutional interpretation. Such concepts and principles are the outcome of doctrinal construction on the part of the Court: they are not the product of the interpretation of the Treaty (they are not expressed in any given provision) but result from a heterogeneous set of (often implicit) non-interpretative </w:t>
      </w:r>
      <w:r>
        <w:rPr>
          <w:rFonts w:ascii="Times New Roman" w:hAnsi="Times New Roman"/>
          <w:sz w:val="24"/>
          <w:szCs w:val="24"/>
          <w:shd w:val="clear" w:color="auto" w:fill="FFFFFF"/>
          <w:lang w:val="en-GB"/>
        </w:rPr>
        <w:t>argumentations</w:t>
      </w:r>
      <w:r w:rsidRPr="00813E2C">
        <w:rPr>
          <w:rFonts w:ascii="Times New Roman" w:hAnsi="Times New Roman"/>
          <w:sz w:val="24"/>
          <w:szCs w:val="24"/>
          <w:shd w:val="clear" w:color="auto" w:fill="FFFFFF"/>
          <w:lang w:val="en-GB"/>
        </w:rPr>
        <w:t xml:space="preserve">. Some such concepts and principles constitute the </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living constitutional law</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 xml:space="preserve"> of the EU and the reason why the EU is often thought of as being international in origin but constitutional in nature. </w:t>
      </w:r>
    </w:p>
    <w:p w:rsidR="005E6612" w:rsidRDefault="005E6612" w:rsidP="00B27D8E">
      <w:pPr>
        <w:spacing w:line="240" w:lineRule="auto"/>
        <w:jc w:val="both"/>
        <w:rPr>
          <w:rFonts w:ascii="Times New Roman" w:hAnsi="Times New Roman"/>
          <w:iCs/>
          <w:sz w:val="24"/>
          <w:szCs w:val="24"/>
          <w:shd w:val="clear" w:color="auto" w:fill="FFFFFF"/>
          <w:lang w:val="en-GB"/>
        </w:rPr>
      </w:pPr>
      <w:r w:rsidRPr="00813E2C">
        <w:rPr>
          <w:rFonts w:ascii="Times New Roman" w:hAnsi="Times New Roman"/>
          <w:sz w:val="24"/>
          <w:szCs w:val="24"/>
          <w:shd w:val="clear" w:color="auto" w:fill="FFFFFF"/>
          <w:lang w:val="en-GB"/>
        </w:rPr>
        <w:t xml:space="preserve">Thus, the </w:t>
      </w:r>
      <w:r w:rsidRPr="003D634E">
        <w:rPr>
          <w:rFonts w:ascii="Times New Roman" w:hAnsi="Times New Roman"/>
          <w:sz w:val="24"/>
          <w:szCs w:val="24"/>
          <w:shd w:val="clear" w:color="auto" w:fill="FFFFFF"/>
          <w:lang w:val="en-GB"/>
        </w:rPr>
        <w:t xml:space="preserve">Court </w:t>
      </w:r>
      <w:r w:rsidRPr="00813E2C">
        <w:rPr>
          <w:rFonts w:ascii="Times New Roman" w:hAnsi="Times New Roman"/>
          <w:sz w:val="24"/>
          <w:szCs w:val="24"/>
          <w:shd w:val="clear" w:color="auto" w:fill="FFFFFF"/>
          <w:lang w:val="en-GB"/>
        </w:rPr>
        <w:t xml:space="preserve">famously established that </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[b]y contrast with ordinary international treaties, the EEC Treaty has created its own legal system</w:t>
      </w:r>
      <w:r>
        <w:rPr>
          <w:rFonts w:ascii="Times New Roman" w:hAnsi="Times New Roman"/>
          <w:sz w:val="24"/>
          <w:szCs w:val="24"/>
          <w:shd w:val="clear" w:color="auto" w:fill="FFFFFF"/>
          <w:lang w:val="en-GB"/>
        </w:rPr>
        <w:t>’</w:t>
      </w:r>
      <w:r w:rsidRPr="00813E2C">
        <w:rPr>
          <w:rStyle w:val="Rimandonotaapidipagina"/>
          <w:rFonts w:ascii="Times New Roman" w:hAnsi="Times New Roman"/>
          <w:sz w:val="24"/>
          <w:szCs w:val="24"/>
          <w:shd w:val="clear" w:color="auto" w:fill="FFFFFF"/>
          <w:lang w:val="en-GB"/>
        </w:rPr>
        <w:footnoteReference w:id="56"/>
      </w:r>
      <w:r w:rsidRPr="00813E2C">
        <w:rPr>
          <w:rFonts w:ascii="Times New Roman" w:hAnsi="Times New Roman"/>
          <w:sz w:val="24"/>
          <w:szCs w:val="24"/>
          <w:shd w:val="clear" w:color="auto" w:fill="FFFFFF"/>
          <w:lang w:val="en-GB"/>
        </w:rPr>
        <w:t xml:space="preserve"> and that </w:t>
      </w:r>
      <w:r>
        <w:rPr>
          <w:rFonts w:ascii="Times New Roman" w:hAnsi="Times New Roman"/>
          <w:sz w:val="24"/>
          <w:szCs w:val="24"/>
          <w:shd w:val="clear" w:color="auto" w:fill="FFFFFF"/>
          <w:lang w:val="en-GB"/>
        </w:rPr>
        <w:t>‘</w:t>
      </w:r>
      <w:r w:rsidRPr="00813E2C">
        <w:rPr>
          <w:rFonts w:ascii="Times New Roman" w:hAnsi="Times New Roman"/>
          <w:iCs/>
          <w:sz w:val="24"/>
          <w:szCs w:val="24"/>
          <w:shd w:val="clear" w:color="auto" w:fill="FFFFFF"/>
          <w:lang w:val="en-GB"/>
        </w:rPr>
        <w:t>fundamental human rights [are] enshrined in the general principles of Community law and protected by the Court</w:t>
      </w:r>
      <w:r>
        <w:rPr>
          <w:rFonts w:ascii="Times New Roman" w:hAnsi="Times New Roman"/>
          <w:iCs/>
          <w:sz w:val="24"/>
          <w:szCs w:val="24"/>
          <w:shd w:val="clear" w:color="auto" w:fill="FFFFFF"/>
          <w:lang w:val="en-GB"/>
        </w:rPr>
        <w:t>’.</w:t>
      </w:r>
      <w:r w:rsidRPr="00813E2C">
        <w:rPr>
          <w:rStyle w:val="Rimandonotaapidipagina"/>
          <w:rFonts w:ascii="Times New Roman" w:hAnsi="Times New Roman"/>
          <w:iCs/>
          <w:sz w:val="24"/>
          <w:szCs w:val="24"/>
          <w:shd w:val="clear" w:color="auto" w:fill="FFFFFF"/>
          <w:lang w:val="en-GB"/>
        </w:rPr>
        <w:footnoteReference w:id="57"/>
      </w:r>
      <w:r w:rsidRPr="00813E2C">
        <w:rPr>
          <w:rFonts w:ascii="Times New Roman" w:hAnsi="Times New Roman"/>
          <w:iCs/>
          <w:sz w:val="24"/>
          <w:szCs w:val="24"/>
          <w:shd w:val="clear" w:color="auto" w:fill="FFFFFF"/>
          <w:lang w:val="en-GB"/>
        </w:rPr>
        <w:t xml:space="preserve"> The Court invented the </w:t>
      </w:r>
      <w:r w:rsidRPr="00813E2C">
        <w:rPr>
          <w:rFonts w:ascii="Times New Roman" w:hAnsi="Times New Roman"/>
          <w:iCs/>
          <w:sz w:val="24"/>
          <w:szCs w:val="24"/>
          <w:shd w:val="clear" w:color="auto" w:fill="FFFFFF"/>
          <w:lang w:val="en-GB"/>
        </w:rPr>
        <w:lastRenderedPageBreak/>
        <w:t xml:space="preserve">principles of </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lang w:val="en-GB"/>
        </w:rPr>
        <w:t>uniformity and efficacy of Community law</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lang w:val="en-GB"/>
        </w:rPr>
        <w:t>, it h</w:t>
      </w:r>
      <w:r>
        <w:rPr>
          <w:rFonts w:ascii="Times New Roman" w:hAnsi="Times New Roman"/>
          <w:iCs/>
          <w:sz w:val="24"/>
          <w:szCs w:val="24"/>
          <w:shd w:val="clear" w:color="auto" w:fill="FFFFFF"/>
          <w:lang w:val="en-GB"/>
        </w:rPr>
        <w:t>e</w:t>
      </w:r>
      <w:r w:rsidRPr="00813E2C">
        <w:rPr>
          <w:rFonts w:ascii="Times New Roman" w:hAnsi="Times New Roman"/>
          <w:iCs/>
          <w:sz w:val="24"/>
          <w:szCs w:val="24"/>
          <w:shd w:val="clear" w:color="auto" w:fill="FFFFFF"/>
          <w:lang w:val="en-GB"/>
        </w:rPr>
        <w:t xml:space="preserve">ld that </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lang w:val="en-GB"/>
        </w:rPr>
        <w:t>the law stemming from the Treaty, an independent source of law, cannot because of its very nature be overridden by rules of national law</w:t>
      </w:r>
      <w:r>
        <w:rPr>
          <w:rFonts w:ascii="Times New Roman" w:hAnsi="Times New Roman"/>
          <w:iCs/>
          <w:sz w:val="24"/>
          <w:szCs w:val="24"/>
          <w:shd w:val="clear" w:color="auto" w:fill="FFFFFF"/>
          <w:lang w:val="en-GB"/>
        </w:rPr>
        <w:t>’,</w:t>
      </w:r>
      <w:r w:rsidRPr="00813E2C">
        <w:rPr>
          <w:rStyle w:val="Rimandonotaapidipagina"/>
          <w:rFonts w:ascii="Times New Roman" w:hAnsi="Times New Roman"/>
          <w:iCs/>
          <w:sz w:val="24"/>
          <w:szCs w:val="24"/>
          <w:shd w:val="clear" w:color="auto" w:fill="FFFFFF"/>
          <w:lang w:val="en-GB"/>
        </w:rPr>
        <w:footnoteReference w:id="58"/>
      </w:r>
      <w:r w:rsidRPr="00813E2C">
        <w:rPr>
          <w:rFonts w:ascii="Times New Roman" w:hAnsi="Times New Roman"/>
          <w:iCs/>
          <w:sz w:val="24"/>
          <w:szCs w:val="24"/>
          <w:shd w:val="clear" w:color="auto" w:fill="FFFFFF"/>
          <w:lang w:val="en-GB"/>
        </w:rPr>
        <w:t xml:space="preserve"> and that </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lang w:val="en-GB"/>
        </w:rPr>
        <w:t>the right to reparation is the necessary corollary of the direct effect</w:t>
      </w:r>
      <w:r>
        <w:rPr>
          <w:rFonts w:ascii="Times New Roman" w:hAnsi="Times New Roman"/>
          <w:iCs/>
          <w:sz w:val="24"/>
          <w:szCs w:val="24"/>
          <w:shd w:val="clear" w:color="auto" w:fill="FFFFFF"/>
          <w:lang w:val="en-GB"/>
        </w:rPr>
        <w:t>’.</w:t>
      </w:r>
      <w:r w:rsidRPr="00813E2C">
        <w:rPr>
          <w:rStyle w:val="Rimandonotaapidipagina"/>
          <w:rFonts w:ascii="Times New Roman" w:hAnsi="Times New Roman"/>
          <w:iCs/>
          <w:sz w:val="24"/>
          <w:szCs w:val="24"/>
          <w:shd w:val="clear" w:color="auto" w:fill="FFFFFF"/>
          <w:lang w:val="en-GB"/>
        </w:rPr>
        <w:footnoteReference w:id="59"/>
      </w:r>
      <w:r w:rsidRPr="00813E2C">
        <w:rPr>
          <w:rFonts w:ascii="Times New Roman" w:hAnsi="Times New Roman"/>
          <w:iCs/>
          <w:sz w:val="24"/>
          <w:szCs w:val="24"/>
          <w:shd w:val="clear" w:color="auto" w:fill="FFFFFF"/>
          <w:lang w:val="en-GB"/>
        </w:rPr>
        <w:t xml:space="preserve"> </w:t>
      </w:r>
      <w:r>
        <w:rPr>
          <w:rFonts w:ascii="Times New Roman" w:hAnsi="Times New Roman"/>
          <w:iCs/>
          <w:sz w:val="24"/>
          <w:szCs w:val="24"/>
          <w:shd w:val="clear" w:color="auto" w:fill="FFFFFF"/>
          <w:lang w:val="en-GB"/>
        </w:rPr>
        <w:t xml:space="preserve">It </w:t>
      </w:r>
      <w:r w:rsidRPr="00813E2C">
        <w:rPr>
          <w:rFonts w:ascii="Times New Roman" w:hAnsi="Times New Roman"/>
          <w:iCs/>
          <w:sz w:val="24"/>
          <w:szCs w:val="24"/>
          <w:shd w:val="clear" w:color="auto" w:fill="FFFFFF"/>
          <w:lang w:val="en-GB"/>
        </w:rPr>
        <w:t>laid down the keystone of the common market – the principle of mutual recognition</w:t>
      </w:r>
      <w:r w:rsidRPr="00813E2C">
        <w:rPr>
          <w:rStyle w:val="Rimandonotaapidipagina"/>
          <w:rFonts w:ascii="Times New Roman" w:hAnsi="Times New Roman"/>
          <w:iCs/>
          <w:sz w:val="24"/>
          <w:szCs w:val="24"/>
          <w:shd w:val="clear" w:color="auto" w:fill="FFFFFF"/>
          <w:lang w:val="en-GB"/>
        </w:rPr>
        <w:footnoteReference w:id="60"/>
      </w:r>
      <w:r w:rsidRPr="00813E2C">
        <w:rPr>
          <w:rFonts w:ascii="Times New Roman" w:hAnsi="Times New Roman"/>
          <w:iCs/>
          <w:sz w:val="24"/>
          <w:szCs w:val="24"/>
          <w:shd w:val="clear" w:color="auto" w:fill="FFFFFF"/>
          <w:lang w:val="en-GB"/>
        </w:rPr>
        <w:t xml:space="preserve"> – and theorised the existence of an </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lang w:val="en-GB"/>
        </w:rPr>
        <w:t>institutional balance</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lang w:val="en-GB"/>
        </w:rPr>
        <w:t xml:space="preserve"> among the different Community institutions – a balance that the Court </w:t>
      </w:r>
      <w:r>
        <w:rPr>
          <w:rFonts w:ascii="Times New Roman" w:hAnsi="Times New Roman"/>
          <w:iCs/>
          <w:sz w:val="24"/>
          <w:szCs w:val="24"/>
          <w:shd w:val="clear" w:color="auto" w:fill="FFFFFF"/>
          <w:lang w:val="en-GB"/>
        </w:rPr>
        <w:t xml:space="preserve">is entitled </w:t>
      </w:r>
      <w:r w:rsidRPr="00813E2C">
        <w:rPr>
          <w:rFonts w:ascii="Times New Roman" w:hAnsi="Times New Roman"/>
          <w:iCs/>
          <w:sz w:val="24"/>
          <w:szCs w:val="24"/>
          <w:shd w:val="clear" w:color="auto" w:fill="FFFFFF"/>
          <w:lang w:val="en-GB"/>
        </w:rPr>
        <w:t>to maintain by reviewing the observance of the var</w:t>
      </w:r>
      <w:r>
        <w:rPr>
          <w:rFonts w:ascii="Times New Roman" w:hAnsi="Times New Roman"/>
          <w:iCs/>
          <w:sz w:val="24"/>
          <w:szCs w:val="24"/>
          <w:shd w:val="clear" w:color="auto" w:fill="FFFFFF"/>
          <w:lang w:val="en-GB"/>
        </w:rPr>
        <w:t>ious institutions’ prerogatives.</w:t>
      </w:r>
      <w:r w:rsidRPr="00813E2C">
        <w:rPr>
          <w:rStyle w:val="Rimandonotaapidipagina"/>
          <w:rFonts w:ascii="Times New Roman" w:hAnsi="Times New Roman"/>
          <w:iCs/>
          <w:sz w:val="24"/>
          <w:szCs w:val="24"/>
          <w:shd w:val="clear" w:color="auto" w:fill="FFFFFF"/>
          <w:lang w:val="en-GB"/>
        </w:rPr>
        <w:footnoteReference w:id="61"/>
      </w:r>
      <w:r w:rsidRPr="00813E2C">
        <w:rPr>
          <w:rFonts w:ascii="Times New Roman" w:hAnsi="Times New Roman"/>
          <w:iCs/>
          <w:sz w:val="24"/>
          <w:szCs w:val="24"/>
          <w:shd w:val="clear" w:color="auto" w:fill="FFFFFF"/>
          <w:lang w:val="en-GB"/>
        </w:rPr>
        <w:t xml:space="preserve"> Finally, the Court has created the rule according to which in case of a legal gap in the Treaties </w:t>
      </w:r>
    </w:p>
    <w:p w:rsidR="005E6612" w:rsidRPr="007F3565" w:rsidRDefault="005E6612" w:rsidP="007F3565">
      <w:pPr>
        <w:spacing w:line="240" w:lineRule="auto"/>
        <w:ind w:left="708"/>
        <w:jc w:val="both"/>
        <w:rPr>
          <w:rFonts w:ascii="Times New Roman" w:hAnsi="Times New Roman"/>
          <w:iCs/>
          <w:sz w:val="20"/>
          <w:szCs w:val="20"/>
          <w:shd w:val="clear" w:color="auto" w:fill="FFFFFF"/>
          <w:lang w:val="en-GB"/>
        </w:rPr>
      </w:pPr>
      <w:r w:rsidRPr="007F3565">
        <w:rPr>
          <w:rFonts w:ascii="Times New Roman" w:hAnsi="Times New Roman"/>
          <w:iCs/>
          <w:sz w:val="20"/>
          <w:szCs w:val="20"/>
          <w:shd w:val="clear" w:color="auto" w:fill="FFFFFF"/>
          <w:lang w:val="en-GB"/>
        </w:rPr>
        <w:t>it is for the Court … to rule on such a question in accordance with generally accepted methods of interpretation, in particular by reference to the fundamental principles of the Community legal system and, where necessary, general principles common to the legal systems of the Member States.</w:t>
      </w:r>
      <w:r w:rsidRPr="007F3565">
        <w:rPr>
          <w:rStyle w:val="Rimandonotaapidipagina"/>
          <w:rFonts w:ascii="Times New Roman" w:hAnsi="Times New Roman"/>
          <w:iCs/>
          <w:sz w:val="20"/>
          <w:szCs w:val="20"/>
          <w:shd w:val="clear" w:color="auto" w:fill="FFFFFF"/>
          <w:lang w:val="en-GB"/>
        </w:rPr>
        <w:footnoteReference w:id="62"/>
      </w:r>
    </w:p>
    <w:p w:rsidR="005E6612" w:rsidRDefault="005E6612" w:rsidP="00B27D8E">
      <w:pPr>
        <w:spacing w:line="240" w:lineRule="auto"/>
        <w:jc w:val="both"/>
        <w:rPr>
          <w:rFonts w:ascii="Times New Roman" w:hAnsi="Times New Roman"/>
          <w:sz w:val="24"/>
          <w:szCs w:val="24"/>
          <w:shd w:val="clear" w:color="auto" w:fill="FFFFFF"/>
          <w:lang w:val="en-GB"/>
        </w:rPr>
      </w:pPr>
      <w:r>
        <w:rPr>
          <w:rFonts w:ascii="Times New Roman" w:hAnsi="Times New Roman"/>
          <w:iCs/>
          <w:sz w:val="24"/>
          <w:szCs w:val="24"/>
          <w:shd w:val="clear" w:color="auto" w:fill="FFFFFF"/>
          <w:lang w:val="en-GB"/>
        </w:rPr>
        <w:t>In addition</w:t>
      </w:r>
      <w:r w:rsidRPr="00813E2C">
        <w:rPr>
          <w:rFonts w:ascii="Times New Roman" w:hAnsi="Times New Roman"/>
          <w:iCs/>
          <w:sz w:val="24"/>
          <w:szCs w:val="24"/>
          <w:shd w:val="clear" w:color="auto" w:fill="FFFFFF"/>
          <w:lang w:val="en-GB"/>
        </w:rPr>
        <w:t xml:space="preserve">, since the beginning of its activity the Court has </w:t>
      </w:r>
      <w:r w:rsidRPr="00813E2C">
        <w:rPr>
          <w:rFonts w:ascii="Times New Roman" w:hAnsi="Times New Roman"/>
          <w:sz w:val="24"/>
          <w:szCs w:val="24"/>
          <w:shd w:val="clear" w:color="auto" w:fill="FFFFFF"/>
          <w:lang w:val="en-GB"/>
        </w:rPr>
        <w:t>created a value-lade</w:t>
      </w:r>
      <w:r>
        <w:rPr>
          <w:rFonts w:ascii="Times New Roman" w:hAnsi="Times New Roman"/>
          <w:sz w:val="24"/>
          <w:szCs w:val="24"/>
          <w:shd w:val="clear" w:color="auto" w:fill="FFFFFF"/>
          <w:lang w:val="en-GB"/>
        </w:rPr>
        <w:t>n</w:t>
      </w:r>
      <w:r w:rsidRPr="00813E2C">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axiological</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 xml:space="preserve">) hierarchy between some of the provisions of the Treaty, qualifying as </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fundamental</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 xml:space="preserve"> the corresponding right or principle (e.g. the </w:t>
      </w:r>
      <w:r w:rsidRPr="00813E2C">
        <w:rPr>
          <w:rFonts w:ascii="Times New Roman" w:hAnsi="Times New Roman"/>
          <w:iCs/>
          <w:sz w:val="24"/>
          <w:szCs w:val="24"/>
          <w:shd w:val="clear" w:color="auto" w:fill="FFFFFF"/>
          <w:lang w:val="en-GB"/>
        </w:rPr>
        <w:t>principle of equal pay for men and women,</w:t>
      </w:r>
      <w:r w:rsidRPr="00813E2C">
        <w:rPr>
          <w:rFonts w:ascii="Times New Roman" w:hAnsi="Times New Roman"/>
          <w:sz w:val="24"/>
          <w:szCs w:val="24"/>
          <w:shd w:val="clear" w:color="auto" w:fill="FFFFFF"/>
          <w:lang w:val="en-GB"/>
        </w:rPr>
        <w:t xml:space="preserve"> free movement of workers, free movement of goods, and so on</w:t>
      </w:r>
      <w:r w:rsidRPr="00813E2C">
        <w:rPr>
          <w:rFonts w:ascii="Times New Roman" w:hAnsi="Times New Roman"/>
          <w:iCs/>
          <w:sz w:val="24"/>
          <w:szCs w:val="24"/>
          <w:shd w:val="clear" w:color="auto" w:fill="FFFFFF"/>
          <w:lang w:val="en-GB"/>
        </w:rPr>
        <w:t>)</w:t>
      </w:r>
      <w:r w:rsidRPr="00813E2C">
        <w:rPr>
          <w:rFonts w:ascii="Times New Roman" w:hAnsi="Times New Roman"/>
          <w:sz w:val="24"/>
          <w:szCs w:val="24"/>
          <w:shd w:val="clear" w:color="auto" w:fill="FFFFFF"/>
          <w:lang w:val="en-GB"/>
        </w:rPr>
        <w:t xml:space="preserve">; then, </w:t>
      </w:r>
      <w:r>
        <w:rPr>
          <w:rFonts w:ascii="Times New Roman" w:hAnsi="Times New Roman"/>
          <w:sz w:val="24"/>
          <w:szCs w:val="24"/>
          <w:shd w:val="clear" w:color="auto" w:fill="FFFFFF"/>
          <w:lang w:val="en-GB"/>
        </w:rPr>
        <w:t>based on</w:t>
      </w:r>
      <w:r w:rsidRPr="00813E2C">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such a hierarchy, the Court has ruled that principles of fundamental nature must be interpreted broadly while exceptions and derogations must be interpreted strictly.</w:t>
      </w:r>
      <w:r>
        <w:rPr>
          <w:rStyle w:val="Rimandonotaapidipagina"/>
          <w:rFonts w:ascii="Times New Roman" w:hAnsi="Times New Roman"/>
          <w:sz w:val="24"/>
          <w:szCs w:val="24"/>
          <w:shd w:val="clear" w:color="auto" w:fill="FFFFFF"/>
          <w:lang w:val="en-GB"/>
        </w:rPr>
        <w:footnoteReference w:id="63"/>
      </w:r>
    </w:p>
    <w:p w:rsidR="005E6612" w:rsidRPr="00813E2C" w:rsidRDefault="005E6612" w:rsidP="00B27D8E">
      <w:pPr>
        <w:spacing w:line="240" w:lineRule="auto"/>
        <w:jc w:val="both"/>
        <w:rPr>
          <w:rFonts w:ascii="Times New Roman" w:hAnsi="Times New Roman"/>
          <w:i/>
          <w:iCs/>
          <w:sz w:val="24"/>
          <w:szCs w:val="24"/>
          <w:shd w:val="clear" w:color="auto" w:fill="FFFFFF"/>
          <w:lang w:val="en-GB"/>
        </w:rPr>
      </w:pPr>
      <w:r w:rsidRPr="00813E2C">
        <w:rPr>
          <w:rFonts w:ascii="Times New Roman" w:hAnsi="Times New Roman"/>
          <w:sz w:val="24"/>
          <w:szCs w:val="24"/>
          <w:shd w:val="clear" w:color="auto" w:fill="FFFFFF"/>
          <w:lang w:val="en-GB"/>
        </w:rPr>
        <w:t xml:space="preserve">11. </w:t>
      </w:r>
      <w:r w:rsidRPr="00813E2C">
        <w:rPr>
          <w:rFonts w:ascii="Times New Roman" w:hAnsi="Times New Roman"/>
          <w:i/>
          <w:iCs/>
          <w:sz w:val="24"/>
          <w:szCs w:val="24"/>
          <w:shd w:val="clear" w:color="auto" w:fill="FFFFFF"/>
          <w:lang w:val="en-GB"/>
        </w:rPr>
        <w:t>Linguistic-logical formulae based on silence</w:t>
      </w:r>
    </w:p>
    <w:p w:rsidR="005E6612" w:rsidRPr="00813E2C" w:rsidRDefault="005E6612" w:rsidP="00B27D8E">
      <w:pPr>
        <w:spacing w:line="240" w:lineRule="auto"/>
        <w:jc w:val="both"/>
        <w:rPr>
          <w:rFonts w:ascii="Times New Roman" w:hAnsi="Times New Roman"/>
          <w:sz w:val="24"/>
          <w:szCs w:val="24"/>
          <w:shd w:val="clear" w:color="auto" w:fill="FFFFFF"/>
          <w:lang w:val="en-GB"/>
        </w:rPr>
      </w:pPr>
      <w:r w:rsidRPr="00813E2C">
        <w:rPr>
          <w:rFonts w:ascii="Times New Roman" w:hAnsi="Times New Roman"/>
          <w:sz w:val="24"/>
          <w:szCs w:val="24"/>
          <w:shd w:val="clear" w:color="auto" w:fill="FFFFFF"/>
          <w:lang w:val="en-GB"/>
        </w:rPr>
        <w:t>As is well known</w:t>
      </w:r>
      <w:r>
        <w:rPr>
          <w:rFonts w:ascii="Times New Roman" w:hAnsi="Times New Roman"/>
          <w:sz w:val="24"/>
          <w:szCs w:val="24"/>
          <w:shd w:val="clear" w:color="auto" w:fill="FFFFFF"/>
          <w:lang w:val="en-GB"/>
        </w:rPr>
        <w:t>,</w:t>
      </w:r>
      <w:r w:rsidRPr="00813E2C">
        <w:rPr>
          <w:rStyle w:val="Rimandonotaapidipagina"/>
          <w:rFonts w:ascii="Times New Roman" w:hAnsi="Times New Roman"/>
          <w:sz w:val="24"/>
          <w:szCs w:val="24"/>
          <w:shd w:val="clear" w:color="auto" w:fill="FFFFFF"/>
          <w:lang w:val="en-GB"/>
        </w:rPr>
        <w:footnoteReference w:id="64"/>
      </w:r>
      <w:r w:rsidRPr="00813E2C">
        <w:rPr>
          <w:rFonts w:ascii="Times New Roman" w:hAnsi="Times New Roman"/>
          <w:sz w:val="24"/>
          <w:szCs w:val="24"/>
          <w:shd w:val="clear" w:color="auto" w:fill="FFFFFF"/>
          <w:lang w:val="en-GB"/>
        </w:rPr>
        <w:t xml:space="preserve"> the </w:t>
      </w:r>
      <w:r w:rsidRPr="003D634E">
        <w:rPr>
          <w:rFonts w:ascii="Times New Roman" w:hAnsi="Times New Roman"/>
          <w:sz w:val="24"/>
          <w:szCs w:val="24"/>
          <w:shd w:val="clear" w:color="auto" w:fill="FFFFFF"/>
          <w:lang w:val="en-GB"/>
        </w:rPr>
        <w:t>Court of Justice</w:t>
      </w:r>
      <w:r w:rsidRPr="00813E2C">
        <w:rPr>
          <w:rFonts w:ascii="Times New Roman" w:hAnsi="Times New Roman"/>
          <w:sz w:val="24"/>
          <w:szCs w:val="24"/>
          <w:shd w:val="clear" w:color="auto" w:fill="FFFFFF"/>
          <w:lang w:val="en-GB"/>
        </w:rPr>
        <w:t xml:space="preserve"> is very reluctant </w:t>
      </w:r>
      <w:r>
        <w:rPr>
          <w:rFonts w:ascii="Times New Roman" w:hAnsi="Times New Roman"/>
          <w:sz w:val="24"/>
          <w:szCs w:val="24"/>
          <w:shd w:val="clear" w:color="auto" w:fill="FFFFFF"/>
          <w:lang w:val="en-GB"/>
        </w:rPr>
        <w:t>to</w:t>
      </w:r>
      <w:r w:rsidRPr="00813E2C">
        <w:rPr>
          <w:rFonts w:ascii="Times New Roman" w:hAnsi="Times New Roman"/>
          <w:sz w:val="24"/>
          <w:szCs w:val="24"/>
          <w:shd w:val="clear" w:color="auto" w:fill="FFFFFF"/>
          <w:lang w:val="en-GB"/>
        </w:rPr>
        <w:t xml:space="preserve"> adopt </w:t>
      </w:r>
      <w:r w:rsidRPr="00813E2C">
        <w:rPr>
          <w:rFonts w:ascii="Times New Roman" w:hAnsi="Times New Roman"/>
          <w:i/>
          <w:sz w:val="24"/>
          <w:szCs w:val="24"/>
          <w:shd w:val="clear" w:color="auto" w:fill="FFFFFF"/>
          <w:lang w:val="en-GB"/>
        </w:rPr>
        <w:t>a contrario</w:t>
      </w:r>
      <w:r w:rsidRPr="00813E2C">
        <w:rPr>
          <w:rFonts w:ascii="Times New Roman" w:hAnsi="Times New Roman"/>
          <w:sz w:val="24"/>
          <w:szCs w:val="24"/>
          <w:shd w:val="clear" w:color="auto" w:fill="FFFFFF"/>
          <w:lang w:val="en-GB"/>
        </w:rPr>
        <w:t xml:space="preserve"> reasoning and in some of its earliest decisions it even theorised explicitly this attitude: </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an argument in reverse is only admissible when no other interpretation appears appropriate and compatible with the provision and its context and with the purpose of the same</w:t>
      </w:r>
      <w:r>
        <w:rPr>
          <w:rFonts w:ascii="Times New Roman" w:hAnsi="Times New Roman"/>
          <w:sz w:val="24"/>
          <w:szCs w:val="24"/>
          <w:shd w:val="clear" w:color="auto" w:fill="FFFFFF"/>
          <w:lang w:val="en-GB"/>
        </w:rPr>
        <w:t>’.</w:t>
      </w:r>
      <w:r w:rsidRPr="00813E2C">
        <w:rPr>
          <w:rStyle w:val="Rimandonotaapidipagina"/>
          <w:rFonts w:ascii="Times New Roman" w:hAnsi="Times New Roman"/>
          <w:sz w:val="24"/>
          <w:szCs w:val="24"/>
          <w:shd w:val="clear" w:color="auto" w:fill="FFFFFF"/>
          <w:lang w:val="en-GB"/>
        </w:rPr>
        <w:footnoteReference w:id="65"/>
      </w:r>
      <w:r w:rsidRPr="00813E2C">
        <w:rPr>
          <w:rFonts w:ascii="Times New Roman" w:hAnsi="Times New Roman"/>
          <w:sz w:val="24"/>
          <w:szCs w:val="24"/>
          <w:shd w:val="clear" w:color="auto" w:fill="FFFFFF"/>
          <w:lang w:val="en-GB"/>
        </w:rPr>
        <w:t xml:space="preserve"> </w:t>
      </w:r>
    </w:p>
    <w:p w:rsidR="005E6612" w:rsidRPr="00813E2C" w:rsidRDefault="005E6612" w:rsidP="00B27D8E">
      <w:pPr>
        <w:spacing w:line="240" w:lineRule="auto"/>
        <w:jc w:val="both"/>
        <w:rPr>
          <w:rFonts w:ascii="Times New Roman" w:hAnsi="Times New Roman"/>
          <w:iCs/>
          <w:sz w:val="24"/>
          <w:szCs w:val="24"/>
          <w:shd w:val="clear" w:color="auto" w:fill="FFFFFF"/>
          <w:lang w:val="en-GB"/>
        </w:rPr>
      </w:pPr>
      <w:r w:rsidRPr="00813E2C">
        <w:rPr>
          <w:rFonts w:ascii="Times New Roman" w:hAnsi="Times New Roman"/>
          <w:sz w:val="24"/>
          <w:szCs w:val="24"/>
          <w:shd w:val="clear" w:color="auto" w:fill="FFFFFF"/>
          <w:lang w:val="en-GB"/>
        </w:rPr>
        <w:t xml:space="preserve">In the Sample we found </w:t>
      </w:r>
      <w:r>
        <w:rPr>
          <w:rFonts w:ascii="Times New Roman" w:hAnsi="Times New Roman"/>
          <w:sz w:val="24"/>
          <w:szCs w:val="24"/>
          <w:shd w:val="clear" w:color="auto" w:fill="FFFFFF"/>
          <w:lang w:val="en-GB"/>
        </w:rPr>
        <w:t>five</w:t>
      </w:r>
      <w:r w:rsidRPr="00813E2C">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judgme</w:t>
      </w:r>
      <w:r w:rsidRPr="00813E2C">
        <w:rPr>
          <w:rFonts w:ascii="Times New Roman" w:hAnsi="Times New Roman"/>
          <w:sz w:val="24"/>
          <w:szCs w:val="24"/>
          <w:shd w:val="clear" w:color="auto" w:fill="FFFFFF"/>
          <w:lang w:val="en-GB"/>
        </w:rPr>
        <w:t xml:space="preserve">nts </w:t>
      </w:r>
      <w:r>
        <w:rPr>
          <w:rFonts w:ascii="Times New Roman" w:hAnsi="Times New Roman"/>
          <w:sz w:val="24"/>
          <w:szCs w:val="24"/>
          <w:shd w:val="clear" w:color="auto" w:fill="FFFFFF"/>
          <w:lang w:val="en-GB"/>
        </w:rPr>
        <w:t xml:space="preserve">employing the </w:t>
      </w:r>
      <w:r w:rsidRPr="00813E2C">
        <w:rPr>
          <w:rFonts w:ascii="Times New Roman" w:hAnsi="Times New Roman"/>
          <w:i/>
          <w:iCs/>
          <w:sz w:val="24"/>
          <w:szCs w:val="24"/>
          <w:shd w:val="clear" w:color="auto" w:fill="FFFFFF"/>
          <w:lang w:val="en-GB"/>
        </w:rPr>
        <w:t>argumentum a contrario</w:t>
      </w:r>
      <w:r>
        <w:rPr>
          <w:rFonts w:ascii="Times New Roman" w:hAnsi="Times New Roman"/>
          <w:sz w:val="24"/>
          <w:szCs w:val="24"/>
          <w:shd w:val="clear" w:color="auto" w:fill="FFFFFF"/>
          <w:lang w:val="en-GB"/>
        </w:rPr>
        <w:t>, and i</w:t>
      </w:r>
      <w:r w:rsidRPr="00813E2C">
        <w:rPr>
          <w:rFonts w:ascii="Times New Roman" w:hAnsi="Times New Roman"/>
          <w:sz w:val="24"/>
          <w:szCs w:val="24"/>
          <w:shd w:val="clear" w:color="auto" w:fill="FFFFFF"/>
          <w:lang w:val="en-GB"/>
        </w:rPr>
        <w:t xml:space="preserve">n </w:t>
      </w:r>
      <w:r>
        <w:rPr>
          <w:rFonts w:ascii="Times New Roman" w:hAnsi="Times New Roman"/>
          <w:sz w:val="24"/>
          <w:szCs w:val="24"/>
          <w:shd w:val="clear" w:color="auto" w:fill="FFFFFF"/>
          <w:lang w:val="en-GB"/>
        </w:rPr>
        <w:t>four</w:t>
      </w:r>
      <w:r w:rsidRPr="00813E2C">
        <w:rPr>
          <w:rFonts w:ascii="Times New Roman" w:hAnsi="Times New Roman"/>
          <w:sz w:val="24"/>
          <w:szCs w:val="24"/>
          <w:shd w:val="clear" w:color="auto" w:fill="FFFFFF"/>
          <w:lang w:val="en-GB"/>
        </w:rPr>
        <w:t xml:space="preserve"> of them the argument was explicitly rejected. The Court held, for instance, that </w:t>
      </w:r>
      <w:r w:rsidRPr="00813E2C">
        <w:rPr>
          <w:rFonts w:ascii="Times New Roman" w:hAnsi="Times New Roman"/>
          <w:iCs/>
          <w:sz w:val="24"/>
          <w:szCs w:val="24"/>
          <w:shd w:val="clear" w:color="auto" w:fill="FFFFFF"/>
          <w:lang w:val="en-GB"/>
        </w:rPr>
        <w:t xml:space="preserve">the existence of the infringement procedure does not exclude that individuals can plead the violation of </w:t>
      </w:r>
      <w:r>
        <w:rPr>
          <w:rFonts w:ascii="Times New Roman" w:hAnsi="Times New Roman"/>
          <w:iCs/>
          <w:sz w:val="24"/>
          <w:szCs w:val="24"/>
          <w:shd w:val="clear" w:color="auto" w:fill="FFFFFF"/>
          <w:lang w:val="en-GB"/>
        </w:rPr>
        <w:t>Community</w:t>
      </w:r>
      <w:r w:rsidRPr="00813E2C">
        <w:rPr>
          <w:rFonts w:ascii="Times New Roman" w:hAnsi="Times New Roman"/>
          <w:iCs/>
          <w:sz w:val="24"/>
          <w:szCs w:val="24"/>
          <w:shd w:val="clear" w:color="auto" w:fill="FFFFFF"/>
          <w:lang w:val="en-GB"/>
        </w:rPr>
        <w:t xml:space="preserve"> law before the national courts</w:t>
      </w:r>
      <w:r>
        <w:rPr>
          <w:rFonts w:ascii="Times New Roman" w:hAnsi="Times New Roman"/>
          <w:iCs/>
          <w:sz w:val="24"/>
          <w:szCs w:val="24"/>
          <w:shd w:val="clear" w:color="auto" w:fill="FFFFFF"/>
          <w:lang w:val="en-GB"/>
        </w:rPr>
        <w:t>,</w:t>
      </w:r>
      <w:r w:rsidRPr="00813E2C">
        <w:rPr>
          <w:rStyle w:val="Rimandonotaapidipagina"/>
          <w:rFonts w:ascii="Times New Roman" w:hAnsi="Times New Roman"/>
          <w:iCs/>
          <w:sz w:val="24"/>
          <w:szCs w:val="24"/>
          <w:shd w:val="clear" w:color="auto" w:fill="FFFFFF"/>
          <w:lang w:val="en-GB"/>
        </w:rPr>
        <w:footnoteReference w:id="66"/>
      </w:r>
      <w:r w:rsidRPr="00813E2C">
        <w:rPr>
          <w:rFonts w:ascii="Times New Roman" w:hAnsi="Times New Roman"/>
          <w:iCs/>
          <w:sz w:val="24"/>
          <w:szCs w:val="24"/>
          <w:shd w:val="clear" w:color="auto" w:fill="FFFFFF"/>
          <w:lang w:val="en-GB"/>
        </w:rPr>
        <w:t xml:space="preserve"> and that </w:t>
      </w:r>
      <w:r w:rsidRPr="00813E2C">
        <w:rPr>
          <w:rFonts w:ascii="Times New Roman" w:hAnsi="Times New Roman"/>
          <w:sz w:val="24"/>
          <w:szCs w:val="24"/>
          <w:shd w:val="clear" w:color="auto" w:fill="FFFFFF"/>
          <w:lang w:val="en-GB"/>
        </w:rPr>
        <w:t xml:space="preserve">it does not follow from the fact that according to Article 189 EEC regulations are directly applicable that </w:t>
      </w:r>
      <w:r>
        <w:rPr>
          <w:rFonts w:ascii="Times New Roman" w:hAnsi="Times New Roman"/>
          <w:sz w:val="24"/>
          <w:szCs w:val="24"/>
          <w:shd w:val="clear" w:color="auto" w:fill="FFFFFF"/>
          <w:lang w:val="en-GB"/>
        </w:rPr>
        <w:t>‘</w:t>
      </w:r>
      <w:r w:rsidRPr="00813E2C">
        <w:rPr>
          <w:rFonts w:ascii="Times New Roman" w:hAnsi="Times New Roman"/>
          <w:iCs/>
          <w:sz w:val="24"/>
          <w:szCs w:val="24"/>
          <w:shd w:val="clear" w:color="auto" w:fill="FFFFFF"/>
          <w:lang w:val="en-GB"/>
        </w:rPr>
        <w:t>other categories of legal measures mentioned in that article can never produce similar effects</w:t>
      </w:r>
      <w:r>
        <w:rPr>
          <w:rFonts w:ascii="Times New Roman" w:hAnsi="Times New Roman"/>
          <w:iCs/>
          <w:sz w:val="24"/>
          <w:szCs w:val="24"/>
          <w:shd w:val="clear" w:color="auto" w:fill="FFFFFF"/>
          <w:lang w:val="en-GB"/>
        </w:rPr>
        <w:t>’.</w:t>
      </w:r>
      <w:r w:rsidRPr="00813E2C">
        <w:rPr>
          <w:rStyle w:val="Rimandonotaapidipagina"/>
          <w:rFonts w:ascii="Times New Roman" w:hAnsi="Times New Roman"/>
          <w:iCs/>
          <w:sz w:val="24"/>
          <w:szCs w:val="24"/>
          <w:shd w:val="clear" w:color="auto" w:fill="FFFFFF"/>
          <w:lang w:val="en-GB"/>
        </w:rPr>
        <w:footnoteReference w:id="67"/>
      </w:r>
    </w:p>
    <w:p w:rsidR="005E6612" w:rsidRPr="00813E2C" w:rsidRDefault="005E6612" w:rsidP="00B27D8E">
      <w:pPr>
        <w:spacing w:line="240" w:lineRule="auto"/>
        <w:jc w:val="both"/>
        <w:rPr>
          <w:rFonts w:ascii="Times New Roman" w:hAnsi="Times New Roman"/>
          <w:sz w:val="24"/>
          <w:szCs w:val="24"/>
          <w:shd w:val="clear" w:color="auto" w:fill="FFFFFF"/>
          <w:lang w:val="en-GB"/>
        </w:rPr>
      </w:pPr>
      <w:r w:rsidRPr="00813E2C">
        <w:rPr>
          <w:rFonts w:ascii="Times New Roman" w:hAnsi="Times New Roman"/>
          <w:iCs/>
          <w:sz w:val="24"/>
          <w:szCs w:val="24"/>
          <w:shd w:val="clear" w:color="auto" w:fill="FFFFFF"/>
          <w:lang w:val="en-GB"/>
        </w:rPr>
        <w:t xml:space="preserve">The only case analysed by the research in which the argument was actually adopted by the Court is </w:t>
      </w:r>
      <w:r w:rsidRPr="00813E2C">
        <w:rPr>
          <w:rFonts w:ascii="Times New Roman" w:hAnsi="Times New Roman"/>
          <w:i/>
          <w:sz w:val="24"/>
          <w:szCs w:val="24"/>
          <w:shd w:val="clear" w:color="auto" w:fill="FFFFFF"/>
          <w:lang w:val="en-GB"/>
        </w:rPr>
        <w:t>Faccini Dori</w:t>
      </w:r>
      <w:r w:rsidRPr="00813E2C">
        <w:rPr>
          <w:rFonts w:ascii="Times New Roman" w:hAnsi="Times New Roman"/>
          <w:iCs/>
          <w:sz w:val="24"/>
          <w:szCs w:val="24"/>
          <w:shd w:val="clear" w:color="auto" w:fill="FFFFFF"/>
          <w:lang w:val="en-GB"/>
        </w:rPr>
        <w:t xml:space="preserve"> (1994), in which the Court held that directives cannot have direct effect because the Community can enact obligations for individuals with immediate effect </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lang w:val="en-GB"/>
        </w:rPr>
        <w:t>only where it is empowered to adopt regulations</w:t>
      </w:r>
      <w:r>
        <w:rPr>
          <w:rFonts w:ascii="Times New Roman" w:hAnsi="Times New Roman"/>
          <w:iCs/>
          <w:sz w:val="24"/>
          <w:szCs w:val="24"/>
          <w:shd w:val="clear" w:color="auto" w:fill="FFFFFF"/>
          <w:lang w:val="en-GB"/>
        </w:rPr>
        <w:t>’.</w:t>
      </w:r>
      <w:r w:rsidRPr="00813E2C">
        <w:rPr>
          <w:rStyle w:val="Rimandonotaapidipagina"/>
          <w:rFonts w:ascii="Times New Roman" w:hAnsi="Times New Roman"/>
          <w:iCs/>
          <w:sz w:val="24"/>
          <w:szCs w:val="24"/>
          <w:shd w:val="clear" w:color="auto" w:fill="FFFFFF"/>
          <w:lang w:val="en-GB"/>
        </w:rPr>
        <w:footnoteReference w:id="68"/>
      </w:r>
    </w:p>
    <w:p w:rsidR="005E6612" w:rsidRPr="00813E2C" w:rsidRDefault="005E6612" w:rsidP="00B27D8E">
      <w:pPr>
        <w:spacing w:line="240" w:lineRule="auto"/>
        <w:jc w:val="both"/>
        <w:rPr>
          <w:rFonts w:ascii="Times New Roman" w:hAnsi="Times New Roman"/>
          <w:sz w:val="24"/>
          <w:szCs w:val="24"/>
          <w:shd w:val="clear" w:color="auto" w:fill="FFFFFF"/>
          <w:lang w:val="en-GB"/>
        </w:rPr>
      </w:pPr>
      <w:bookmarkStart w:id="5" w:name="_Toc332347998"/>
      <w:r w:rsidRPr="00813E2C">
        <w:rPr>
          <w:rFonts w:ascii="Times New Roman" w:hAnsi="Times New Roman"/>
          <w:sz w:val="24"/>
          <w:szCs w:val="24"/>
          <w:shd w:val="clear" w:color="auto" w:fill="FFFFFF"/>
          <w:lang w:val="en-GB"/>
        </w:rPr>
        <w:lastRenderedPageBreak/>
        <w:t xml:space="preserve">12. </w:t>
      </w:r>
      <w:bookmarkEnd w:id="5"/>
      <w:r w:rsidRPr="00813E2C">
        <w:rPr>
          <w:rFonts w:ascii="Times New Roman" w:hAnsi="Times New Roman"/>
          <w:i/>
          <w:iCs/>
          <w:sz w:val="24"/>
          <w:szCs w:val="24"/>
          <w:shd w:val="clear" w:color="auto" w:fill="FFFFFF"/>
          <w:lang w:val="en-GB"/>
        </w:rPr>
        <w:t>Teleological arguments referring to the purpose of the text</w:t>
      </w:r>
    </w:p>
    <w:p w:rsidR="005E6612" w:rsidRDefault="005E6612" w:rsidP="00B27D8E">
      <w:pPr>
        <w:spacing w:line="240" w:lineRule="auto"/>
        <w:jc w:val="both"/>
        <w:rPr>
          <w:rFonts w:ascii="Times New Roman" w:hAnsi="Times New Roman"/>
          <w:sz w:val="24"/>
          <w:szCs w:val="24"/>
          <w:shd w:val="clear" w:color="auto" w:fill="FFFFFF"/>
          <w:lang w:val="en-GB"/>
        </w:rPr>
      </w:pPr>
      <w:r w:rsidRPr="00813E2C">
        <w:rPr>
          <w:rFonts w:ascii="Times New Roman" w:hAnsi="Times New Roman"/>
          <w:sz w:val="24"/>
          <w:szCs w:val="24"/>
          <w:shd w:val="clear" w:color="auto" w:fill="FFFFFF"/>
          <w:lang w:val="en-GB"/>
        </w:rPr>
        <w:t xml:space="preserve">In the 40 </w:t>
      </w:r>
      <w:r>
        <w:rPr>
          <w:rFonts w:ascii="Times New Roman" w:hAnsi="Times New Roman"/>
          <w:sz w:val="24"/>
          <w:szCs w:val="24"/>
          <w:shd w:val="clear" w:color="auto" w:fill="FFFFFF"/>
          <w:lang w:val="en-GB"/>
        </w:rPr>
        <w:t>judgme</w:t>
      </w:r>
      <w:r w:rsidRPr="00813E2C">
        <w:rPr>
          <w:rFonts w:ascii="Times New Roman" w:hAnsi="Times New Roman"/>
          <w:sz w:val="24"/>
          <w:szCs w:val="24"/>
          <w:shd w:val="clear" w:color="auto" w:fill="FFFFFF"/>
          <w:lang w:val="en-GB"/>
        </w:rPr>
        <w:t xml:space="preserve">nts analysed by the research the teleological argument was used </w:t>
      </w:r>
      <w:r>
        <w:rPr>
          <w:rFonts w:ascii="Times New Roman" w:hAnsi="Times New Roman"/>
          <w:sz w:val="24"/>
          <w:szCs w:val="24"/>
          <w:shd w:val="clear" w:color="auto" w:fill="FFFFFF"/>
          <w:lang w:val="en-GB"/>
        </w:rPr>
        <w:t xml:space="preserve">in </w:t>
      </w:r>
      <w:r w:rsidRPr="00813E2C">
        <w:rPr>
          <w:rFonts w:ascii="Times New Roman" w:hAnsi="Times New Roman"/>
          <w:sz w:val="24"/>
          <w:szCs w:val="24"/>
          <w:shd w:val="clear" w:color="auto" w:fill="FFFFFF"/>
          <w:lang w:val="en-GB"/>
        </w:rPr>
        <w:t xml:space="preserve">no less than 27 </w:t>
      </w:r>
      <w:r>
        <w:rPr>
          <w:rFonts w:ascii="Times New Roman" w:hAnsi="Times New Roman"/>
          <w:sz w:val="24"/>
          <w:szCs w:val="24"/>
          <w:shd w:val="clear" w:color="auto" w:fill="FFFFFF"/>
          <w:lang w:val="en-GB"/>
        </w:rPr>
        <w:t>cases</w:t>
      </w:r>
      <w:r w:rsidRPr="00813E2C">
        <w:rPr>
          <w:rFonts w:ascii="Times New Roman" w:hAnsi="Times New Roman"/>
          <w:sz w:val="24"/>
          <w:szCs w:val="24"/>
          <w:shd w:val="clear" w:color="auto" w:fill="FFFFFF"/>
          <w:lang w:val="en-GB"/>
        </w:rPr>
        <w:t xml:space="preserve">, thus emerging as the most frequently employed argument in the </w:t>
      </w:r>
      <w:r>
        <w:rPr>
          <w:rFonts w:ascii="Times New Roman" w:hAnsi="Times New Roman"/>
          <w:sz w:val="24"/>
          <w:szCs w:val="24"/>
          <w:shd w:val="clear" w:color="auto" w:fill="FFFFFF"/>
          <w:lang w:val="en-GB"/>
        </w:rPr>
        <w:t>S</w:t>
      </w:r>
      <w:r w:rsidRPr="00813E2C">
        <w:rPr>
          <w:rFonts w:ascii="Times New Roman" w:hAnsi="Times New Roman"/>
          <w:sz w:val="24"/>
          <w:szCs w:val="24"/>
          <w:shd w:val="clear" w:color="auto" w:fill="FFFFFF"/>
          <w:lang w:val="en-GB"/>
        </w:rPr>
        <w:t xml:space="preserve">ample. </w:t>
      </w:r>
    </w:p>
    <w:p w:rsidR="005E6612" w:rsidRDefault="005E6612" w:rsidP="00B27D8E">
      <w:pPr>
        <w:spacing w:line="240" w:lineRule="auto"/>
        <w:jc w:val="both"/>
        <w:rPr>
          <w:rFonts w:ascii="Times New Roman" w:hAnsi="Times New Roman"/>
          <w:sz w:val="24"/>
          <w:szCs w:val="24"/>
          <w:shd w:val="clear" w:color="auto" w:fill="FFFFFF"/>
          <w:lang w:val="en-GB"/>
        </w:rPr>
      </w:pPr>
      <w:r w:rsidRPr="00813E2C">
        <w:rPr>
          <w:rFonts w:ascii="Times New Roman" w:hAnsi="Times New Roman"/>
          <w:sz w:val="24"/>
          <w:szCs w:val="24"/>
          <w:shd w:val="clear" w:color="auto" w:fill="FFFFFF"/>
          <w:lang w:val="en-GB"/>
        </w:rPr>
        <w:t>This finding is hardly surprising</w:t>
      </w:r>
      <w:r>
        <w:rPr>
          <w:rFonts w:ascii="Times New Roman" w:hAnsi="Times New Roman"/>
          <w:sz w:val="24"/>
          <w:szCs w:val="24"/>
          <w:shd w:val="clear" w:color="auto" w:fill="FFFFFF"/>
          <w:lang w:val="en-GB"/>
        </w:rPr>
        <w:t xml:space="preserve">. Although in EU law there is no commonly accepted </w:t>
      </w:r>
      <w:r w:rsidRPr="00730D1B">
        <w:rPr>
          <w:rFonts w:ascii="Times New Roman" w:hAnsi="Times New Roman"/>
          <w:sz w:val="24"/>
          <w:szCs w:val="24"/>
          <w:shd w:val="clear" w:color="auto" w:fill="FFFFFF"/>
          <w:lang w:val="en-GB"/>
        </w:rPr>
        <w:t>doctrine on the relative weight of arguments</w:t>
      </w:r>
      <w:r>
        <w:rPr>
          <w:rFonts w:ascii="Times New Roman" w:hAnsi="Times New Roman"/>
          <w:sz w:val="24"/>
          <w:szCs w:val="24"/>
          <w:shd w:val="clear" w:color="auto" w:fill="FFFFFF"/>
          <w:lang w:val="en-GB"/>
        </w:rPr>
        <w:t xml:space="preserve">, teleological interpretation enjoys a distinguished record and a particularly strong standing before the </w:t>
      </w:r>
      <w:r w:rsidRPr="003D634E">
        <w:rPr>
          <w:rFonts w:ascii="Times New Roman" w:hAnsi="Times New Roman"/>
          <w:sz w:val="24"/>
          <w:szCs w:val="24"/>
          <w:shd w:val="clear" w:color="auto" w:fill="FFFFFF"/>
          <w:lang w:val="en-GB"/>
        </w:rPr>
        <w:t>Court of Justice</w:t>
      </w:r>
      <w:r>
        <w:rPr>
          <w:rFonts w:ascii="Times New Roman" w:hAnsi="Times New Roman"/>
          <w:sz w:val="24"/>
          <w:szCs w:val="24"/>
          <w:shd w:val="clear" w:color="auto" w:fill="FFFFFF"/>
          <w:lang w:val="en-GB"/>
        </w:rPr>
        <w:t xml:space="preserve">. It is indicative in this regard that the ‘spirit’, that is, teleological argumentation, comes first in the list of interpretative methods formulated in </w:t>
      </w:r>
      <w:r w:rsidRPr="00AF4A29">
        <w:rPr>
          <w:rFonts w:ascii="Times New Roman" w:hAnsi="Times New Roman"/>
          <w:i/>
          <w:sz w:val="24"/>
          <w:szCs w:val="24"/>
          <w:shd w:val="clear" w:color="auto" w:fill="FFFFFF"/>
          <w:lang w:val="en-GB"/>
        </w:rPr>
        <w:t>Van Gend en Loos</w:t>
      </w:r>
      <w:r>
        <w:rPr>
          <w:rFonts w:ascii="Times New Roman" w:hAnsi="Times New Roman"/>
          <w:sz w:val="24"/>
          <w:szCs w:val="24"/>
          <w:shd w:val="clear" w:color="auto" w:fill="FFFFFF"/>
          <w:lang w:val="en-GB"/>
        </w:rPr>
        <w:t xml:space="preserve"> (‘</w:t>
      </w:r>
      <w:r w:rsidRPr="007B507F">
        <w:rPr>
          <w:rFonts w:ascii="Times New Roman" w:hAnsi="Times New Roman"/>
          <w:sz w:val="24"/>
          <w:szCs w:val="24"/>
          <w:shd w:val="clear" w:color="auto" w:fill="FFFFFF"/>
          <w:lang w:val="en-GB"/>
        </w:rPr>
        <w:t>...it is necessary to consider the spirit, the general scheme and the wording of those provisions</w:t>
      </w:r>
      <w:r>
        <w:rPr>
          <w:rFonts w:ascii="Times New Roman" w:hAnsi="Times New Roman"/>
          <w:sz w:val="24"/>
          <w:szCs w:val="24"/>
          <w:shd w:val="clear" w:color="auto" w:fill="FFFFFF"/>
          <w:lang w:val="en-GB"/>
        </w:rPr>
        <w:t>’</w:t>
      </w:r>
      <w:r>
        <w:rPr>
          <w:rStyle w:val="Rimandonotaapidipagina"/>
          <w:rFonts w:ascii="Times New Roman" w:hAnsi="Times New Roman"/>
          <w:sz w:val="24"/>
          <w:szCs w:val="24"/>
          <w:shd w:val="clear" w:color="auto" w:fill="FFFFFF"/>
          <w:lang w:val="en-GB"/>
        </w:rPr>
        <w:footnoteReference w:id="69"/>
      </w:r>
      <w:r>
        <w:rPr>
          <w:rFonts w:ascii="Times New Roman" w:hAnsi="Times New Roman"/>
          <w:sz w:val="24"/>
          <w:szCs w:val="24"/>
          <w:shd w:val="clear" w:color="auto" w:fill="FFFFFF"/>
          <w:lang w:val="en-GB"/>
        </w:rPr>
        <w:t>). T</w:t>
      </w:r>
      <w:r w:rsidRPr="00813E2C">
        <w:rPr>
          <w:rFonts w:ascii="Times New Roman" w:hAnsi="Times New Roman"/>
          <w:sz w:val="24"/>
          <w:szCs w:val="24"/>
          <w:shd w:val="clear" w:color="auto" w:fill="FFFFFF"/>
          <w:lang w:val="en-GB"/>
        </w:rPr>
        <w:t xml:space="preserve">he </w:t>
      </w:r>
      <w:r w:rsidRPr="003D634E">
        <w:rPr>
          <w:rFonts w:ascii="Times New Roman" w:hAnsi="Times New Roman"/>
          <w:sz w:val="24"/>
          <w:szCs w:val="24"/>
          <w:shd w:val="clear" w:color="auto" w:fill="FFFFFF"/>
          <w:lang w:val="en-GB"/>
        </w:rPr>
        <w:t>Court of Justice</w:t>
      </w:r>
      <w:r w:rsidRPr="00813E2C">
        <w:rPr>
          <w:rFonts w:ascii="Times New Roman" w:hAnsi="Times New Roman"/>
          <w:sz w:val="24"/>
          <w:szCs w:val="24"/>
          <w:shd w:val="clear" w:color="auto" w:fill="FFFFFF"/>
          <w:lang w:val="en-GB"/>
        </w:rPr>
        <w:t xml:space="preserve"> is wel</w:t>
      </w:r>
      <w:r>
        <w:rPr>
          <w:rFonts w:ascii="Times New Roman" w:hAnsi="Times New Roman"/>
          <w:sz w:val="24"/>
          <w:szCs w:val="24"/>
          <w:shd w:val="clear" w:color="auto" w:fill="FFFFFF"/>
          <w:lang w:val="en-GB"/>
        </w:rPr>
        <w:t xml:space="preserve">l-known for having adopted the teleological method and </w:t>
      </w:r>
      <w:r w:rsidRPr="00813E2C">
        <w:rPr>
          <w:rFonts w:ascii="Times New Roman" w:hAnsi="Times New Roman"/>
          <w:sz w:val="24"/>
          <w:szCs w:val="24"/>
          <w:shd w:val="clear" w:color="auto" w:fill="FFFFFF"/>
          <w:lang w:val="en-GB"/>
        </w:rPr>
        <w:t xml:space="preserve">the hallmark of the </w:t>
      </w:r>
      <w:r w:rsidRPr="003D634E">
        <w:rPr>
          <w:rFonts w:ascii="Times New Roman" w:hAnsi="Times New Roman"/>
          <w:sz w:val="24"/>
          <w:szCs w:val="24"/>
          <w:shd w:val="clear" w:color="auto" w:fill="FFFFFF"/>
          <w:lang w:val="en-GB"/>
        </w:rPr>
        <w:t xml:space="preserve">Court </w:t>
      </w:r>
      <w:r>
        <w:rPr>
          <w:rFonts w:ascii="Times New Roman" w:hAnsi="Times New Roman"/>
          <w:sz w:val="24"/>
          <w:szCs w:val="24"/>
          <w:shd w:val="clear" w:color="auto" w:fill="FFFFFF"/>
          <w:lang w:val="en-GB"/>
        </w:rPr>
        <w:t xml:space="preserve">is to </w:t>
      </w:r>
      <w:r w:rsidRPr="00813E2C">
        <w:rPr>
          <w:rFonts w:ascii="Times New Roman" w:hAnsi="Times New Roman"/>
          <w:sz w:val="24"/>
          <w:szCs w:val="24"/>
          <w:shd w:val="clear" w:color="auto" w:fill="FFFFFF"/>
          <w:lang w:val="en-GB"/>
        </w:rPr>
        <w:t>interpret</w:t>
      </w:r>
      <w:r>
        <w:rPr>
          <w:rFonts w:ascii="Times New Roman" w:hAnsi="Times New Roman"/>
          <w:sz w:val="24"/>
          <w:szCs w:val="24"/>
          <w:shd w:val="clear" w:color="auto" w:fill="FFFFFF"/>
          <w:lang w:val="en-GB"/>
        </w:rPr>
        <w:t xml:space="preserve"> th</w:t>
      </w:r>
      <w:r w:rsidRPr="00813E2C">
        <w:rPr>
          <w:rFonts w:ascii="Times New Roman" w:hAnsi="Times New Roman"/>
          <w:sz w:val="24"/>
          <w:szCs w:val="24"/>
          <w:shd w:val="clear" w:color="auto" w:fill="FFFFFF"/>
          <w:lang w:val="en-GB"/>
        </w:rPr>
        <w:t>e Treaties in the way that best fits their overall objectives.</w:t>
      </w:r>
      <w:r>
        <w:rPr>
          <w:rFonts w:ascii="Times New Roman" w:hAnsi="Times New Roman"/>
          <w:sz w:val="24"/>
          <w:szCs w:val="24"/>
          <w:shd w:val="clear" w:color="auto" w:fill="FFFFFF"/>
          <w:lang w:val="en-GB"/>
        </w:rPr>
        <w:t xml:space="preserve"> While it may be true that </w:t>
      </w:r>
      <w:r w:rsidRPr="00813E2C">
        <w:rPr>
          <w:rFonts w:ascii="Times New Roman" w:hAnsi="Times New Roman"/>
          <w:sz w:val="24"/>
          <w:szCs w:val="24"/>
          <w:shd w:val="clear" w:color="auto" w:fill="FFFFFF"/>
          <w:lang w:val="en-GB"/>
        </w:rPr>
        <w:t xml:space="preserve">in the everyday </w:t>
      </w:r>
      <w:r>
        <w:rPr>
          <w:rFonts w:ascii="Times New Roman" w:hAnsi="Times New Roman"/>
          <w:sz w:val="24"/>
          <w:szCs w:val="24"/>
          <w:shd w:val="clear" w:color="auto" w:fill="FFFFFF"/>
          <w:lang w:val="en-GB"/>
        </w:rPr>
        <w:t>activities</w:t>
      </w:r>
      <w:r w:rsidRPr="00813E2C">
        <w:rPr>
          <w:rFonts w:ascii="Times New Roman" w:hAnsi="Times New Roman"/>
          <w:sz w:val="24"/>
          <w:szCs w:val="24"/>
          <w:shd w:val="clear" w:color="auto" w:fill="FFFFFF"/>
          <w:lang w:val="en-GB"/>
        </w:rPr>
        <w:t xml:space="preserve"> of the </w:t>
      </w:r>
      <w:r w:rsidRPr="003D634E">
        <w:rPr>
          <w:rFonts w:ascii="Times New Roman" w:hAnsi="Times New Roman"/>
          <w:sz w:val="24"/>
          <w:szCs w:val="24"/>
          <w:shd w:val="clear" w:color="auto" w:fill="FFFFFF"/>
          <w:lang w:val="en-GB"/>
        </w:rPr>
        <w:t xml:space="preserve">Court </w:t>
      </w:r>
      <w:r w:rsidRPr="00813E2C">
        <w:rPr>
          <w:rFonts w:ascii="Times New Roman" w:hAnsi="Times New Roman"/>
          <w:sz w:val="24"/>
          <w:szCs w:val="24"/>
          <w:shd w:val="clear" w:color="auto" w:fill="FFFFFF"/>
          <w:lang w:val="en-GB"/>
        </w:rPr>
        <w:t>recourse to teleological interpretation is less common than we are accustomed to think</w:t>
      </w:r>
      <w:r>
        <w:rPr>
          <w:rFonts w:ascii="Times New Roman" w:hAnsi="Times New Roman"/>
          <w:sz w:val="24"/>
          <w:szCs w:val="24"/>
          <w:shd w:val="clear" w:color="auto" w:fill="FFFFFF"/>
          <w:lang w:val="en-GB"/>
        </w:rPr>
        <w:t xml:space="preserve">, nonetheless it cannot be denied that </w:t>
      </w:r>
      <w:r w:rsidRPr="00813E2C">
        <w:rPr>
          <w:rFonts w:ascii="Times New Roman" w:hAnsi="Times New Roman"/>
          <w:sz w:val="24"/>
          <w:szCs w:val="24"/>
          <w:shd w:val="clear" w:color="auto" w:fill="FFFFFF"/>
          <w:lang w:val="en-GB"/>
        </w:rPr>
        <w:t>teleological interpret</w:t>
      </w:r>
      <w:r>
        <w:rPr>
          <w:rFonts w:ascii="Times New Roman" w:hAnsi="Times New Roman"/>
          <w:sz w:val="24"/>
          <w:szCs w:val="24"/>
          <w:shd w:val="clear" w:color="auto" w:fill="FFFFFF"/>
          <w:lang w:val="en-GB"/>
        </w:rPr>
        <w:t>ation is fairly important in those</w:t>
      </w:r>
      <w:r w:rsidRPr="00813E2C">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judgments that ‘</w:t>
      </w:r>
      <w:r w:rsidRPr="00813E2C">
        <w:rPr>
          <w:rFonts w:ascii="Times New Roman" w:hAnsi="Times New Roman"/>
          <w:sz w:val="24"/>
          <w:szCs w:val="24"/>
          <w:shd w:val="clear" w:color="auto" w:fill="FFFFFF"/>
          <w:lang w:val="en-GB"/>
        </w:rPr>
        <w:t xml:space="preserve">have </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famous status</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 xml:space="preserve"> and are continuously referred to in the literature</w:t>
      </w:r>
      <w:r>
        <w:rPr>
          <w:rFonts w:ascii="Times New Roman" w:hAnsi="Times New Roman"/>
          <w:sz w:val="24"/>
          <w:szCs w:val="24"/>
          <w:shd w:val="clear" w:color="auto" w:fill="FFFFFF"/>
          <w:lang w:val="en-GB"/>
        </w:rPr>
        <w:t>’.</w:t>
      </w:r>
      <w:r w:rsidRPr="00813E2C">
        <w:rPr>
          <w:rStyle w:val="Rimandonotaapidipagina"/>
          <w:rFonts w:ascii="Times New Roman" w:hAnsi="Times New Roman"/>
          <w:sz w:val="24"/>
          <w:szCs w:val="24"/>
          <w:shd w:val="clear" w:color="auto" w:fill="FFFFFF"/>
          <w:lang w:val="en-GB"/>
        </w:rPr>
        <w:footnoteReference w:id="70"/>
      </w:r>
      <w:r>
        <w:rPr>
          <w:rFonts w:ascii="Times New Roman" w:hAnsi="Times New Roman"/>
          <w:sz w:val="24"/>
          <w:szCs w:val="24"/>
          <w:shd w:val="clear" w:color="auto" w:fill="FFFFFF"/>
          <w:lang w:val="en-GB"/>
        </w:rPr>
        <w:t xml:space="preserve"> </w:t>
      </w:r>
      <w:r w:rsidRPr="00813E2C">
        <w:rPr>
          <w:rFonts w:ascii="Times New Roman" w:hAnsi="Times New Roman"/>
          <w:sz w:val="24"/>
          <w:szCs w:val="24"/>
          <w:shd w:val="clear" w:color="auto" w:fill="FFFFFF"/>
          <w:lang w:val="en-GB"/>
        </w:rPr>
        <w:t>Several judges of the Court have explained and justified that method in numerous writings and journal articles</w:t>
      </w:r>
      <w:r>
        <w:rPr>
          <w:rFonts w:ascii="Times New Roman" w:hAnsi="Times New Roman"/>
          <w:sz w:val="24"/>
          <w:szCs w:val="24"/>
          <w:shd w:val="clear" w:color="auto" w:fill="FFFFFF"/>
          <w:lang w:val="en-GB"/>
        </w:rPr>
        <w:t xml:space="preserve">, in which they claim </w:t>
      </w:r>
      <w:r w:rsidRPr="00813E2C">
        <w:rPr>
          <w:rFonts w:ascii="Times New Roman" w:hAnsi="Times New Roman"/>
          <w:sz w:val="24"/>
          <w:szCs w:val="24"/>
          <w:shd w:val="clear" w:color="auto" w:fill="FFFFFF"/>
          <w:lang w:val="en-GB"/>
        </w:rPr>
        <w:t xml:space="preserve">that the most appropriate way of fulfilling their office is to contribute to the achievement of the goals of the Community by bearing </w:t>
      </w:r>
      <w:r>
        <w:rPr>
          <w:rFonts w:ascii="Times New Roman" w:hAnsi="Times New Roman"/>
          <w:sz w:val="24"/>
          <w:szCs w:val="24"/>
          <w:shd w:val="clear" w:color="auto" w:fill="FFFFFF"/>
          <w:lang w:val="en-GB"/>
        </w:rPr>
        <w:t>them</w:t>
      </w:r>
      <w:r w:rsidRPr="00813E2C">
        <w:rPr>
          <w:rFonts w:ascii="Times New Roman" w:hAnsi="Times New Roman"/>
          <w:sz w:val="24"/>
          <w:szCs w:val="24"/>
          <w:shd w:val="clear" w:color="auto" w:fill="FFFFFF"/>
          <w:lang w:val="en-GB"/>
        </w:rPr>
        <w:t xml:space="preserve"> in mind when interpreting the open-ended Treaties provisions and when filling the gaps of the Treaties</w:t>
      </w:r>
      <w:r w:rsidRPr="00813E2C">
        <w:rPr>
          <w:rStyle w:val="Rimandonotaapidipagina"/>
          <w:rFonts w:ascii="Times New Roman" w:hAnsi="Times New Roman"/>
          <w:sz w:val="24"/>
          <w:szCs w:val="24"/>
          <w:shd w:val="clear" w:color="auto" w:fill="FFFFFF"/>
          <w:lang w:val="en-GB"/>
        </w:rPr>
        <w:footnoteReference w:id="71"/>
      </w:r>
      <w:r w:rsidRPr="00813E2C">
        <w:rPr>
          <w:rFonts w:ascii="Times New Roman" w:hAnsi="Times New Roman"/>
          <w:sz w:val="24"/>
          <w:szCs w:val="24"/>
          <w:shd w:val="clear" w:color="auto" w:fill="FFFFFF"/>
          <w:lang w:val="en-GB"/>
        </w:rPr>
        <w:t xml:space="preserve">. </w:t>
      </w:r>
    </w:p>
    <w:p w:rsidR="005E6612" w:rsidRDefault="005E6612" w:rsidP="00B27D8E">
      <w:pPr>
        <w:spacing w:line="240" w:lineRule="auto"/>
        <w:jc w:val="both"/>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 xml:space="preserve">Particularly in the case of the Treaties, it is often impossible to sharply distinguish between teleological argumentation and systematic interpretation (‘domestic harmonising arguments’). The </w:t>
      </w:r>
      <w:r w:rsidRPr="00FB773F">
        <w:rPr>
          <w:rFonts w:ascii="Times New Roman" w:hAnsi="Times New Roman"/>
          <w:sz w:val="24"/>
          <w:szCs w:val="24"/>
          <w:shd w:val="clear" w:color="auto" w:fill="FFFFFF"/>
          <w:lang w:val="en-GB"/>
        </w:rPr>
        <w:t>Treaties are imbued with teleology from top to bottom, as they are functional to a project of transformation of the legal orders of the Member States</w:t>
      </w:r>
      <w:r>
        <w:rPr>
          <w:rFonts w:ascii="Times New Roman" w:hAnsi="Times New Roman"/>
          <w:sz w:val="24"/>
          <w:szCs w:val="24"/>
          <w:shd w:val="clear" w:color="auto" w:fill="FFFFFF"/>
          <w:lang w:val="en-GB"/>
        </w:rPr>
        <w:t xml:space="preserve"> (‘</w:t>
      </w:r>
      <w:r w:rsidRPr="00FB773F">
        <w:rPr>
          <w:rFonts w:ascii="Times New Roman" w:hAnsi="Times New Roman"/>
          <w:sz w:val="24"/>
          <w:szCs w:val="24"/>
          <w:shd w:val="clear" w:color="auto" w:fill="FFFFFF"/>
          <w:lang w:val="en-GB"/>
        </w:rPr>
        <w:t xml:space="preserve">an </w:t>
      </w:r>
      <w:r w:rsidRPr="00FB773F">
        <w:rPr>
          <w:rFonts w:ascii="Times New Roman" w:hAnsi="Times New Roman"/>
          <w:iCs/>
          <w:sz w:val="24"/>
          <w:szCs w:val="24"/>
          <w:shd w:val="clear" w:color="auto" w:fill="FFFFFF"/>
          <w:lang w:val="en-GB"/>
        </w:rPr>
        <w:t>ever closer union</w:t>
      </w:r>
      <w:r w:rsidRPr="00FB773F">
        <w:rPr>
          <w:rFonts w:ascii="Times New Roman" w:hAnsi="Times New Roman"/>
          <w:sz w:val="24"/>
          <w:szCs w:val="24"/>
          <w:shd w:val="clear" w:color="auto" w:fill="FFFFFF"/>
          <w:lang w:val="en-GB"/>
        </w:rPr>
        <w:t xml:space="preserve"> among the peoples of Europe</w:t>
      </w:r>
      <w:r>
        <w:rPr>
          <w:rFonts w:ascii="Times New Roman" w:hAnsi="Times New Roman"/>
          <w:sz w:val="24"/>
          <w:szCs w:val="24"/>
          <w:shd w:val="clear" w:color="auto" w:fill="FFFFFF"/>
          <w:lang w:val="en-GB"/>
        </w:rPr>
        <w:t>’, as is stated in the Preamble of the Treaty on European Union); they are ‘</w:t>
      </w:r>
      <w:r w:rsidRPr="00FB773F">
        <w:rPr>
          <w:rFonts w:ascii="Times New Roman" w:hAnsi="Times New Roman"/>
          <w:sz w:val="24"/>
          <w:szCs w:val="24"/>
          <w:shd w:val="clear" w:color="auto" w:fill="FFFFFF"/>
          <w:lang w:val="en-GB"/>
        </w:rPr>
        <w:t>designed along functional lines</w:t>
      </w:r>
      <w:r>
        <w:rPr>
          <w:rFonts w:ascii="Times New Roman" w:hAnsi="Times New Roman"/>
          <w:sz w:val="24"/>
          <w:szCs w:val="24"/>
          <w:shd w:val="clear" w:color="auto" w:fill="FFFFFF"/>
          <w:lang w:val="en-GB"/>
        </w:rPr>
        <w:t>’ and are ‘</w:t>
      </w:r>
      <w:r w:rsidRPr="00FB773F">
        <w:rPr>
          <w:rFonts w:ascii="Times New Roman" w:hAnsi="Times New Roman"/>
          <w:sz w:val="24"/>
          <w:szCs w:val="24"/>
          <w:shd w:val="clear" w:color="auto" w:fill="FFFFFF"/>
          <w:lang w:val="en-GB"/>
        </w:rPr>
        <w:t>structured with a view to the Community</w:t>
      </w:r>
      <w:r>
        <w:rPr>
          <w:rFonts w:ascii="Times New Roman" w:hAnsi="Times New Roman"/>
          <w:sz w:val="24"/>
          <w:szCs w:val="24"/>
          <w:shd w:val="clear" w:color="auto" w:fill="FFFFFF"/>
          <w:lang w:val="en-GB"/>
        </w:rPr>
        <w:t>’</w:t>
      </w:r>
      <w:r w:rsidRPr="00FB773F">
        <w:rPr>
          <w:rFonts w:ascii="Times New Roman" w:hAnsi="Times New Roman"/>
          <w:sz w:val="24"/>
          <w:szCs w:val="24"/>
          <w:shd w:val="clear" w:color="auto" w:fill="FFFFFF"/>
          <w:lang w:val="en-GB"/>
        </w:rPr>
        <w:t>s achiev</w:t>
      </w:r>
      <w:r>
        <w:rPr>
          <w:rFonts w:ascii="Times New Roman" w:hAnsi="Times New Roman"/>
          <w:sz w:val="24"/>
          <w:szCs w:val="24"/>
          <w:shd w:val="clear" w:color="auto" w:fill="FFFFFF"/>
          <w:lang w:val="en-GB"/>
        </w:rPr>
        <w:t>ement of the various objectives’ they establish.</w:t>
      </w:r>
      <w:r>
        <w:rPr>
          <w:rStyle w:val="Rimandonotaapidipagina"/>
          <w:rFonts w:ascii="Times New Roman" w:hAnsi="Times New Roman"/>
          <w:sz w:val="24"/>
          <w:szCs w:val="24"/>
          <w:shd w:val="clear" w:color="auto" w:fill="FFFFFF"/>
          <w:lang w:val="en-GB"/>
        </w:rPr>
        <w:footnoteReference w:id="72"/>
      </w:r>
      <w:r w:rsidRPr="00AF4A29">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Systematic interpretation is meant to achieve coherence and consistency between the rules of the system; if these rules set forth goals and policy objectives, then systematic interpretation implies and includes teleological argumentation.</w:t>
      </w:r>
    </w:p>
    <w:p w:rsidR="005E6612" w:rsidRDefault="005E6612" w:rsidP="00B27D8E">
      <w:pPr>
        <w:spacing w:line="240" w:lineRule="auto"/>
        <w:jc w:val="both"/>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 xml:space="preserve">The distinction between teleological argumentation and systematic interpretation is therefore </w:t>
      </w:r>
      <w:r w:rsidRPr="00596F22">
        <w:rPr>
          <w:rFonts w:ascii="Times New Roman" w:hAnsi="Times New Roman"/>
          <w:sz w:val="24"/>
          <w:szCs w:val="24"/>
          <w:shd w:val="clear" w:color="auto" w:fill="FFFFFF"/>
          <w:lang w:val="en-GB"/>
        </w:rPr>
        <w:t xml:space="preserve">blurred </w:t>
      </w:r>
      <w:r>
        <w:rPr>
          <w:rFonts w:ascii="Times New Roman" w:hAnsi="Times New Roman"/>
          <w:sz w:val="24"/>
          <w:szCs w:val="24"/>
          <w:shd w:val="clear" w:color="auto" w:fill="FFFFFF"/>
          <w:lang w:val="en-GB"/>
        </w:rPr>
        <w:t>in those cases in which the Court assumes that a</w:t>
      </w:r>
      <w:r w:rsidRPr="00813E2C">
        <w:rPr>
          <w:rFonts w:ascii="Times New Roman" w:hAnsi="Times New Roman"/>
          <w:sz w:val="24"/>
          <w:szCs w:val="24"/>
          <w:shd w:val="clear" w:color="auto" w:fill="FFFFFF"/>
          <w:lang w:val="en-GB"/>
        </w:rPr>
        <w:t xml:space="preserve"> provision </w:t>
      </w:r>
      <w:r>
        <w:rPr>
          <w:rFonts w:ascii="Times New Roman" w:hAnsi="Times New Roman"/>
          <w:sz w:val="24"/>
          <w:szCs w:val="24"/>
          <w:shd w:val="clear" w:color="auto" w:fill="FFFFFF"/>
          <w:lang w:val="en-GB"/>
        </w:rPr>
        <w:t xml:space="preserve">of the Treaty </w:t>
      </w:r>
      <w:r w:rsidRPr="00813E2C">
        <w:rPr>
          <w:rFonts w:ascii="Times New Roman" w:hAnsi="Times New Roman"/>
          <w:sz w:val="24"/>
          <w:szCs w:val="24"/>
          <w:shd w:val="clear" w:color="auto" w:fill="FFFFFF"/>
          <w:lang w:val="en-GB"/>
        </w:rPr>
        <w:t>must be interpreted in a way which is coherent with the goals and purposes established by</w:t>
      </w:r>
      <w:r>
        <w:rPr>
          <w:rFonts w:ascii="Times New Roman" w:hAnsi="Times New Roman"/>
          <w:sz w:val="24"/>
          <w:szCs w:val="24"/>
          <w:shd w:val="clear" w:color="auto" w:fill="FFFFFF"/>
          <w:lang w:val="en-GB"/>
        </w:rPr>
        <w:t xml:space="preserve"> the Treaty</w:t>
      </w:r>
      <w:r w:rsidRPr="00813E2C">
        <w:rPr>
          <w:rFonts w:ascii="Times New Roman" w:hAnsi="Times New Roman"/>
          <w:sz w:val="24"/>
          <w:szCs w:val="24"/>
          <w:shd w:val="clear" w:color="auto" w:fill="FFFFFF"/>
          <w:lang w:val="en-GB"/>
        </w:rPr>
        <w:t xml:space="preserve">. For instance the Court held that </w:t>
      </w:r>
    </w:p>
    <w:p w:rsidR="005E6612" w:rsidRPr="005E7FC6" w:rsidRDefault="005E6612" w:rsidP="005E7FC6">
      <w:pPr>
        <w:spacing w:line="240" w:lineRule="auto"/>
        <w:ind w:left="708"/>
        <w:jc w:val="both"/>
        <w:rPr>
          <w:rFonts w:ascii="Times New Roman" w:hAnsi="Times New Roman"/>
          <w:sz w:val="20"/>
          <w:szCs w:val="20"/>
          <w:shd w:val="clear" w:color="auto" w:fill="FFFFFF"/>
          <w:lang w:val="en-GB"/>
        </w:rPr>
      </w:pPr>
      <w:r w:rsidRPr="005E7FC6">
        <w:rPr>
          <w:rFonts w:ascii="Times New Roman" w:hAnsi="Times New Roman"/>
          <w:sz w:val="20"/>
          <w:szCs w:val="20"/>
          <w:shd w:val="clear" w:color="auto" w:fill="FFFFFF"/>
          <w:lang w:val="en-GB"/>
        </w:rPr>
        <w:t>the objective of the EEC Treaty, which is to establish a common market, the functioning of which is of direct concern to interested parties in the Community, implies that this Treaty is more than an agreement which merely creates mutual obligations between the Contracting States.</w:t>
      </w:r>
      <w:r w:rsidRPr="005E7FC6">
        <w:rPr>
          <w:rStyle w:val="Rimandonotaapidipagina"/>
          <w:rFonts w:ascii="Times New Roman" w:hAnsi="Times New Roman"/>
          <w:sz w:val="20"/>
          <w:szCs w:val="20"/>
          <w:shd w:val="clear" w:color="auto" w:fill="FFFFFF"/>
          <w:lang w:val="en-GB"/>
        </w:rPr>
        <w:footnoteReference w:id="73"/>
      </w:r>
      <w:r w:rsidRPr="005E7FC6">
        <w:rPr>
          <w:rFonts w:ascii="Times New Roman" w:hAnsi="Times New Roman"/>
          <w:sz w:val="20"/>
          <w:szCs w:val="20"/>
          <w:shd w:val="clear" w:color="auto" w:fill="FFFFFF"/>
          <w:lang w:val="en-GB"/>
        </w:rPr>
        <w:t xml:space="preserve"> </w:t>
      </w:r>
    </w:p>
    <w:p w:rsidR="005E6612" w:rsidRDefault="005E6612" w:rsidP="00B27D8E">
      <w:pPr>
        <w:spacing w:line="240" w:lineRule="auto"/>
        <w:jc w:val="both"/>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lastRenderedPageBreak/>
        <w:t>And the Court also</w:t>
      </w:r>
      <w:r w:rsidRPr="00813E2C">
        <w:rPr>
          <w:rFonts w:ascii="Times New Roman" w:hAnsi="Times New Roman"/>
          <w:sz w:val="24"/>
          <w:szCs w:val="24"/>
          <w:shd w:val="clear" w:color="auto" w:fill="FFFFFF"/>
          <w:lang w:val="en-GB"/>
        </w:rPr>
        <w:t xml:space="preserve"> held that </w:t>
      </w:r>
    </w:p>
    <w:p w:rsidR="005E6612" w:rsidRPr="005E7FC6" w:rsidRDefault="005E6612" w:rsidP="005E7FC6">
      <w:pPr>
        <w:spacing w:line="240" w:lineRule="auto"/>
        <w:ind w:left="708"/>
        <w:jc w:val="both"/>
        <w:rPr>
          <w:rFonts w:ascii="Times New Roman" w:hAnsi="Times New Roman"/>
          <w:sz w:val="20"/>
          <w:szCs w:val="20"/>
          <w:shd w:val="clear" w:color="auto" w:fill="FFFFFF"/>
          <w:lang w:val="en-GB"/>
        </w:rPr>
      </w:pPr>
      <w:r w:rsidRPr="005E7FC6">
        <w:rPr>
          <w:rFonts w:ascii="Times New Roman" w:hAnsi="Times New Roman"/>
          <w:sz w:val="20"/>
          <w:szCs w:val="20"/>
          <w:shd w:val="clear" w:color="auto" w:fill="FFFFFF"/>
          <w:lang w:val="en-GB"/>
        </w:rPr>
        <w:t>[s]ince the Community has thus not only an economic but also a social purpose, the rights under the provisions of the Treaty on the free movement of goods, persons, services and capital must be balanced against the objectives pursued by social policy.</w:t>
      </w:r>
      <w:r w:rsidRPr="005E7FC6">
        <w:rPr>
          <w:rStyle w:val="Rimandonotaapidipagina"/>
          <w:rFonts w:ascii="Times New Roman" w:hAnsi="Times New Roman"/>
          <w:sz w:val="20"/>
          <w:szCs w:val="20"/>
          <w:shd w:val="clear" w:color="auto" w:fill="FFFFFF"/>
          <w:lang w:val="en-GB"/>
        </w:rPr>
        <w:footnoteReference w:id="74"/>
      </w:r>
      <w:r w:rsidRPr="005E7FC6">
        <w:rPr>
          <w:rFonts w:ascii="Times New Roman" w:hAnsi="Times New Roman"/>
          <w:sz w:val="20"/>
          <w:szCs w:val="20"/>
          <w:shd w:val="clear" w:color="auto" w:fill="FFFFFF"/>
          <w:lang w:val="en-GB"/>
        </w:rPr>
        <w:t xml:space="preserve"> </w:t>
      </w:r>
    </w:p>
    <w:p w:rsidR="005E6612" w:rsidRDefault="005E6612" w:rsidP="00B27D8E">
      <w:pPr>
        <w:spacing w:line="240" w:lineRule="auto"/>
        <w:jc w:val="both"/>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In these examples, teleological interpretation and systematic construction are indistinguishable.</w:t>
      </w:r>
    </w:p>
    <w:p w:rsidR="005E6612" w:rsidRDefault="005E6612" w:rsidP="00B27D8E">
      <w:pPr>
        <w:spacing w:line="240" w:lineRule="auto"/>
        <w:jc w:val="both"/>
        <w:rPr>
          <w:rFonts w:ascii="Times New Roman" w:hAnsi="Times New Roman"/>
          <w:iCs/>
          <w:sz w:val="24"/>
          <w:szCs w:val="24"/>
          <w:shd w:val="clear" w:color="auto" w:fill="FFFFFF"/>
          <w:lang w:val="en-GB"/>
        </w:rPr>
      </w:pPr>
      <w:r>
        <w:rPr>
          <w:rFonts w:ascii="Times New Roman" w:hAnsi="Times New Roman"/>
          <w:sz w:val="24"/>
          <w:szCs w:val="24"/>
          <w:shd w:val="clear" w:color="auto" w:fill="FFFFFF"/>
          <w:lang w:val="en-GB"/>
        </w:rPr>
        <w:t xml:space="preserve">The distinction is clearer when the Court takes into consideration </w:t>
      </w:r>
      <w:r w:rsidRPr="00813E2C">
        <w:rPr>
          <w:rFonts w:ascii="Times New Roman" w:hAnsi="Times New Roman"/>
          <w:sz w:val="24"/>
          <w:szCs w:val="24"/>
          <w:shd w:val="clear" w:color="auto" w:fill="FFFFFF"/>
          <w:lang w:val="en-GB"/>
        </w:rPr>
        <w:t xml:space="preserve">the </w:t>
      </w:r>
      <w:r>
        <w:rPr>
          <w:rFonts w:ascii="Times New Roman" w:hAnsi="Times New Roman"/>
          <w:sz w:val="24"/>
          <w:szCs w:val="24"/>
          <w:shd w:val="clear" w:color="auto" w:fill="FFFFFF"/>
          <w:lang w:val="en-GB"/>
        </w:rPr>
        <w:t xml:space="preserve">practical </w:t>
      </w:r>
      <w:r w:rsidRPr="00813E2C">
        <w:rPr>
          <w:rFonts w:ascii="Times New Roman" w:hAnsi="Times New Roman"/>
          <w:sz w:val="24"/>
          <w:szCs w:val="24"/>
          <w:shd w:val="clear" w:color="auto" w:fill="FFFFFF"/>
          <w:lang w:val="en-GB"/>
        </w:rPr>
        <w:t>consequences of the interpretive decision</w:t>
      </w:r>
      <w:r>
        <w:rPr>
          <w:rFonts w:ascii="Times New Roman" w:hAnsi="Times New Roman"/>
          <w:sz w:val="24"/>
          <w:szCs w:val="24"/>
          <w:shd w:val="clear" w:color="auto" w:fill="FFFFFF"/>
          <w:lang w:val="en-GB"/>
        </w:rPr>
        <w:t xml:space="preserve">, which </w:t>
      </w:r>
      <w:r w:rsidRPr="00813E2C">
        <w:rPr>
          <w:rFonts w:ascii="Times New Roman" w:hAnsi="Times New Roman"/>
          <w:sz w:val="24"/>
          <w:szCs w:val="24"/>
          <w:shd w:val="clear" w:color="auto" w:fill="FFFFFF"/>
          <w:lang w:val="en-GB"/>
        </w:rPr>
        <w:t xml:space="preserve">in turn </w:t>
      </w:r>
      <w:r>
        <w:rPr>
          <w:rFonts w:ascii="Times New Roman" w:hAnsi="Times New Roman"/>
          <w:sz w:val="24"/>
          <w:szCs w:val="24"/>
          <w:shd w:val="clear" w:color="auto" w:fill="FFFFFF"/>
          <w:lang w:val="en-GB"/>
        </w:rPr>
        <w:t xml:space="preserve">it assesses </w:t>
      </w:r>
      <w:r w:rsidRPr="00813E2C">
        <w:rPr>
          <w:rFonts w:ascii="Times New Roman" w:hAnsi="Times New Roman"/>
          <w:sz w:val="24"/>
          <w:szCs w:val="24"/>
          <w:shd w:val="clear" w:color="auto" w:fill="FFFFFF"/>
          <w:lang w:val="en-GB"/>
        </w:rPr>
        <w:t xml:space="preserve">in light of the objectives of the </w:t>
      </w:r>
      <w:r>
        <w:rPr>
          <w:rFonts w:ascii="Times New Roman" w:hAnsi="Times New Roman"/>
          <w:sz w:val="24"/>
          <w:szCs w:val="24"/>
          <w:shd w:val="clear" w:color="auto" w:fill="FFFFFF"/>
          <w:lang w:val="en-GB"/>
        </w:rPr>
        <w:t>Union</w:t>
      </w:r>
      <w:r w:rsidRPr="00813E2C">
        <w:rPr>
          <w:rFonts w:ascii="Times New Roman" w:hAnsi="Times New Roman"/>
          <w:sz w:val="24"/>
          <w:szCs w:val="24"/>
          <w:shd w:val="clear" w:color="auto" w:fill="FFFFFF"/>
          <w:lang w:val="en-GB"/>
        </w:rPr>
        <w:t xml:space="preserve"> and</w:t>
      </w:r>
      <w:r>
        <w:rPr>
          <w:rFonts w:ascii="Times New Roman" w:hAnsi="Times New Roman"/>
          <w:sz w:val="24"/>
          <w:szCs w:val="24"/>
          <w:shd w:val="clear" w:color="auto" w:fill="FFFFFF"/>
          <w:lang w:val="en-GB"/>
        </w:rPr>
        <w:t xml:space="preserve"> </w:t>
      </w:r>
      <w:r w:rsidRPr="00813E2C">
        <w:rPr>
          <w:rFonts w:ascii="Times New Roman" w:hAnsi="Times New Roman"/>
          <w:sz w:val="24"/>
          <w:szCs w:val="24"/>
          <w:shd w:val="clear" w:color="auto" w:fill="FFFFFF"/>
          <w:lang w:val="en-GB"/>
        </w:rPr>
        <w:t xml:space="preserve">of the </w:t>
      </w:r>
      <w:r>
        <w:rPr>
          <w:rFonts w:ascii="Times New Roman" w:hAnsi="Times New Roman"/>
          <w:sz w:val="24"/>
          <w:szCs w:val="24"/>
          <w:shd w:val="clear" w:color="auto" w:fill="FFFFFF"/>
          <w:lang w:val="en-GB"/>
        </w:rPr>
        <w:t xml:space="preserve">principles of effectiveness and </w:t>
      </w:r>
      <w:r w:rsidRPr="00813E2C">
        <w:rPr>
          <w:rFonts w:ascii="Times New Roman" w:hAnsi="Times New Roman"/>
          <w:sz w:val="24"/>
          <w:szCs w:val="24"/>
          <w:shd w:val="clear" w:color="auto" w:fill="FFFFFF"/>
          <w:lang w:val="en-GB"/>
        </w:rPr>
        <w:t xml:space="preserve">uniform application of </w:t>
      </w:r>
      <w:r>
        <w:rPr>
          <w:rFonts w:ascii="Times New Roman" w:hAnsi="Times New Roman"/>
          <w:sz w:val="24"/>
          <w:szCs w:val="24"/>
          <w:shd w:val="clear" w:color="auto" w:fill="FFFFFF"/>
          <w:lang w:val="en-GB"/>
        </w:rPr>
        <w:t>EU</w:t>
      </w:r>
      <w:r w:rsidRPr="00813E2C">
        <w:rPr>
          <w:rFonts w:ascii="Times New Roman" w:hAnsi="Times New Roman"/>
          <w:sz w:val="24"/>
          <w:szCs w:val="24"/>
          <w:shd w:val="clear" w:color="auto" w:fill="FFFFFF"/>
          <w:lang w:val="en-GB"/>
        </w:rPr>
        <w:t xml:space="preserve"> law</w:t>
      </w:r>
      <w:r>
        <w:rPr>
          <w:rFonts w:ascii="Times New Roman" w:hAnsi="Times New Roman"/>
          <w:sz w:val="24"/>
          <w:szCs w:val="24"/>
          <w:shd w:val="clear" w:color="auto" w:fill="FFFFFF"/>
          <w:lang w:val="en-GB"/>
        </w:rPr>
        <w:t xml:space="preserve">. </w:t>
      </w:r>
      <w:r w:rsidRPr="00813E2C">
        <w:rPr>
          <w:rFonts w:ascii="Times New Roman" w:hAnsi="Times New Roman"/>
          <w:sz w:val="24"/>
          <w:szCs w:val="24"/>
          <w:shd w:val="clear" w:color="auto" w:fill="FFFFFF"/>
          <w:lang w:val="en-GB"/>
        </w:rPr>
        <w:t>This is a special kind of teleological interpretation: the guiding goal is the effectiveness of the provision the Court is about to interpret</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 xml:space="preserve"> or of othe</w:t>
      </w:r>
      <w:r>
        <w:rPr>
          <w:rFonts w:ascii="Times New Roman" w:hAnsi="Times New Roman"/>
          <w:sz w:val="24"/>
          <w:szCs w:val="24"/>
          <w:shd w:val="clear" w:color="auto" w:fill="FFFFFF"/>
          <w:lang w:val="en-GB"/>
        </w:rPr>
        <w:t>r provisions of the Treaty, and therefore the Court examines the foreseeable extra-systematic consequences of the legal decision</w:t>
      </w:r>
      <w:r w:rsidRPr="00813E2C">
        <w:rPr>
          <w:rFonts w:ascii="Times New Roman" w:hAnsi="Times New Roman"/>
          <w:iCs/>
          <w:sz w:val="24"/>
          <w:szCs w:val="24"/>
          <w:shd w:val="clear" w:color="auto" w:fill="FFFFFF"/>
          <w:lang w:val="en-GB"/>
        </w:rPr>
        <w:t xml:space="preserve">. </w:t>
      </w:r>
      <w:r w:rsidRPr="00813E2C">
        <w:rPr>
          <w:rFonts w:ascii="Times New Roman" w:hAnsi="Times New Roman"/>
          <w:sz w:val="24"/>
          <w:szCs w:val="24"/>
          <w:shd w:val="clear" w:color="auto" w:fill="FFFFFF"/>
          <w:lang w:val="en-GB"/>
        </w:rPr>
        <w:t xml:space="preserve">For instance the Court held that </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[t]he executive force of Community law cannot vary from one State to another in deference to subsequent domestic laws, without jeopardizing the attainment of the objectives of the Treaty</w:t>
      </w:r>
      <w:r>
        <w:rPr>
          <w:rFonts w:ascii="Times New Roman" w:hAnsi="Times New Roman"/>
          <w:sz w:val="24"/>
          <w:szCs w:val="24"/>
          <w:shd w:val="clear" w:color="auto" w:fill="FFFFFF"/>
          <w:lang w:val="en-GB"/>
        </w:rPr>
        <w:t>’.</w:t>
      </w:r>
      <w:r w:rsidRPr="00813E2C">
        <w:rPr>
          <w:rStyle w:val="Rimandonotaapidipagina"/>
          <w:rFonts w:ascii="Times New Roman" w:hAnsi="Times New Roman"/>
          <w:sz w:val="24"/>
          <w:szCs w:val="24"/>
          <w:shd w:val="clear" w:color="auto" w:fill="FFFFFF"/>
          <w:lang w:val="en-GB"/>
        </w:rPr>
        <w:footnoteReference w:id="75"/>
      </w:r>
      <w:r>
        <w:rPr>
          <w:rFonts w:ascii="Times New Roman" w:hAnsi="Times New Roman"/>
          <w:sz w:val="24"/>
          <w:szCs w:val="24"/>
          <w:shd w:val="clear" w:color="auto" w:fill="FFFFFF"/>
          <w:lang w:val="en-GB"/>
        </w:rPr>
        <w:t xml:space="preserve"> It held </w:t>
      </w:r>
      <w:r>
        <w:rPr>
          <w:rFonts w:ascii="Times New Roman" w:hAnsi="Times New Roman"/>
          <w:iCs/>
          <w:sz w:val="24"/>
          <w:szCs w:val="24"/>
          <w:shd w:val="clear" w:color="auto" w:fill="FFFFFF"/>
          <w:lang w:val="en-GB"/>
        </w:rPr>
        <w:t>that</w:t>
      </w:r>
    </w:p>
    <w:p w:rsidR="005E6612" w:rsidRPr="0097223B" w:rsidRDefault="005E6612" w:rsidP="0097223B">
      <w:pPr>
        <w:spacing w:line="240" w:lineRule="auto"/>
        <w:ind w:left="708"/>
        <w:jc w:val="both"/>
        <w:rPr>
          <w:rFonts w:ascii="Times New Roman" w:hAnsi="Times New Roman"/>
          <w:sz w:val="20"/>
          <w:szCs w:val="20"/>
          <w:shd w:val="clear" w:color="auto" w:fill="FFFFFF"/>
          <w:lang w:val="en-GB"/>
        </w:rPr>
      </w:pPr>
      <w:r w:rsidRPr="0097223B">
        <w:rPr>
          <w:rFonts w:ascii="Times New Roman" w:hAnsi="Times New Roman"/>
          <w:sz w:val="20"/>
          <w:szCs w:val="20"/>
          <w:shd w:val="clear" w:color="auto" w:fill="FFFFFF"/>
          <w:lang w:val="en-GB"/>
        </w:rPr>
        <w:t>[p]articularly in cases where … the Community authorities by means of a decision have imposed an obligation … to act in a certain way, the effectiveness (‘l’effet utile’) of such a measure would be weakened if the nationals of that state could not invoke it in the courts and the national courts could not take it into consideration as part of Community law.</w:t>
      </w:r>
      <w:r w:rsidRPr="0097223B">
        <w:rPr>
          <w:rStyle w:val="Rimandonotaapidipagina"/>
          <w:rFonts w:ascii="Times New Roman" w:hAnsi="Times New Roman"/>
          <w:sz w:val="20"/>
          <w:szCs w:val="20"/>
          <w:shd w:val="clear" w:color="auto" w:fill="FFFFFF"/>
          <w:lang w:val="en-GB"/>
        </w:rPr>
        <w:footnoteReference w:id="76"/>
      </w:r>
      <w:r w:rsidRPr="0097223B">
        <w:rPr>
          <w:rFonts w:ascii="Times New Roman" w:hAnsi="Times New Roman"/>
          <w:sz w:val="20"/>
          <w:szCs w:val="20"/>
          <w:shd w:val="clear" w:color="auto" w:fill="FFFFFF"/>
          <w:lang w:val="en-GB"/>
        </w:rPr>
        <w:t xml:space="preserve"> </w:t>
      </w:r>
    </w:p>
    <w:p w:rsidR="005E6612" w:rsidRPr="00813E2C" w:rsidRDefault="005E6612" w:rsidP="00B27D8E">
      <w:pPr>
        <w:spacing w:line="240" w:lineRule="auto"/>
        <w:jc w:val="both"/>
        <w:rPr>
          <w:rFonts w:ascii="Times New Roman" w:hAnsi="Times New Roman"/>
          <w:iCs/>
          <w:sz w:val="24"/>
          <w:szCs w:val="24"/>
          <w:shd w:val="clear" w:color="auto" w:fill="FFFFFF"/>
          <w:lang w:val="en-GB"/>
        </w:rPr>
      </w:pPr>
      <w:r>
        <w:rPr>
          <w:rFonts w:ascii="Times New Roman" w:hAnsi="Times New Roman"/>
          <w:sz w:val="24"/>
          <w:szCs w:val="24"/>
          <w:shd w:val="clear" w:color="auto" w:fill="FFFFFF"/>
          <w:lang w:val="en-GB"/>
        </w:rPr>
        <w:t>T</w:t>
      </w:r>
      <w:r w:rsidRPr="00FA1A85">
        <w:rPr>
          <w:rFonts w:ascii="Times New Roman" w:hAnsi="Times New Roman"/>
          <w:sz w:val="24"/>
          <w:szCs w:val="24"/>
          <w:shd w:val="clear" w:color="auto" w:fill="FFFFFF"/>
          <w:lang w:val="en-GB"/>
        </w:rPr>
        <w:t>he goals that the teleological argument may take into account can vary from being more or less determinate objectives set out in given Treaty prov</w:t>
      </w:r>
      <w:r>
        <w:rPr>
          <w:rFonts w:ascii="Times New Roman" w:hAnsi="Times New Roman"/>
          <w:sz w:val="24"/>
          <w:szCs w:val="24"/>
          <w:shd w:val="clear" w:color="auto" w:fill="FFFFFF"/>
          <w:lang w:val="en-GB"/>
        </w:rPr>
        <w:t xml:space="preserve">isions or groups of provisions </w:t>
      </w:r>
      <w:r w:rsidRPr="00FA1A85">
        <w:rPr>
          <w:rFonts w:ascii="Times New Roman" w:hAnsi="Times New Roman"/>
          <w:sz w:val="24"/>
          <w:szCs w:val="24"/>
          <w:shd w:val="clear" w:color="auto" w:fill="FFFFFF"/>
          <w:lang w:val="en-GB"/>
        </w:rPr>
        <w:t>to more abstract and indeterminate general principles</w:t>
      </w:r>
      <w:r w:rsidRPr="00813E2C">
        <w:rPr>
          <w:rFonts w:ascii="Times New Roman" w:hAnsi="Times New Roman"/>
          <w:sz w:val="24"/>
          <w:szCs w:val="24"/>
          <w:shd w:val="clear" w:color="auto" w:fill="FFFFFF"/>
          <w:lang w:val="en-GB"/>
        </w:rPr>
        <w:t xml:space="preserve"> such as the </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social purpose of the Community</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 xml:space="preserve">, the </w:t>
      </w:r>
      <w:r w:rsidRPr="00813E2C">
        <w:rPr>
          <w:rFonts w:ascii="Times New Roman" w:hAnsi="Times New Roman"/>
          <w:iCs/>
          <w:sz w:val="24"/>
          <w:szCs w:val="24"/>
          <w:shd w:val="clear" w:color="auto" w:fill="FFFFFF"/>
          <w:lang w:val="en-GB"/>
        </w:rPr>
        <w:t>effectiveness of E</w:t>
      </w:r>
      <w:r>
        <w:rPr>
          <w:rFonts w:ascii="Times New Roman" w:hAnsi="Times New Roman"/>
          <w:iCs/>
          <w:sz w:val="24"/>
          <w:szCs w:val="24"/>
          <w:shd w:val="clear" w:color="auto" w:fill="FFFFFF"/>
          <w:lang w:val="en-GB"/>
        </w:rPr>
        <w:t>U</w:t>
      </w:r>
      <w:r w:rsidRPr="00813E2C">
        <w:rPr>
          <w:rFonts w:ascii="Times New Roman" w:hAnsi="Times New Roman"/>
          <w:iCs/>
          <w:sz w:val="24"/>
          <w:szCs w:val="24"/>
          <w:shd w:val="clear" w:color="auto" w:fill="FFFFFF"/>
          <w:lang w:val="en-GB"/>
        </w:rPr>
        <w:t xml:space="preserve"> law, its uniform application, the goal of securing effective judicial protection, and so on. Sometimes, the goal that guides the teleological reasoning of the Court is totally indeterminate and unnamed</w:t>
      </w:r>
      <w:r>
        <w:rPr>
          <w:rFonts w:ascii="Times New Roman" w:hAnsi="Times New Roman"/>
          <w:iCs/>
          <w:sz w:val="24"/>
          <w:szCs w:val="24"/>
          <w:shd w:val="clear" w:color="auto" w:fill="FFFFFF"/>
          <w:lang w:val="en-GB"/>
        </w:rPr>
        <w:t>: ‘</w:t>
      </w:r>
      <w:r w:rsidRPr="00813E2C">
        <w:rPr>
          <w:rFonts w:ascii="Times New Roman" w:hAnsi="Times New Roman"/>
          <w:iCs/>
          <w:sz w:val="24"/>
          <w:szCs w:val="24"/>
          <w:shd w:val="clear" w:color="auto" w:fill="FFFFFF"/>
          <w:lang w:val="en-GB"/>
        </w:rPr>
        <w:t>the spirit of the Treaty</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lang w:val="en-GB"/>
        </w:rPr>
        <w:t xml:space="preserve">, </w:t>
      </w:r>
      <w:r>
        <w:rPr>
          <w:rFonts w:ascii="Times New Roman" w:hAnsi="Times New Roman"/>
          <w:iCs/>
          <w:sz w:val="24"/>
          <w:szCs w:val="24"/>
          <w:shd w:val="clear" w:color="auto" w:fill="FFFFFF"/>
          <w:lang w:val="en-GB"/>
        </w:rPr>
        <w:t>‘</w:t>
      </w:r>
      <w:r w:rsidRPr="00813E2C">
        <w:rPr>
          <w:rFonts w:ascii="Times New Roman" w:hAnsi="Times New Roman"/>
          <w:sz w:val="24"/>
          <w:szCs w:val="24"/>
          <w:shd w:val="clear" w:color="auto" w:fill="FFFFFF"/>
          <w:lang w:val="en-GB"/>
        </w:rPr>
        <w:t>the objectives of the Treaty</w:t>
      </w:r>
      <w:r>
        <w:rPr>
          <w:rFonts w:ascii="Times New Roman" w:hAnsi="Times New Roman"/>
          <w:sz w:val="24"/>
          <w:szCs w:val="24"/>
          <w:shd w:val="clear" w:color="auto" w:fill="FFFFFF"/>
          <w:lang w:val="en-GB"/>
        </w:rPr>
        <w:t>’, ‘</w:t>
      </w:r>
      <w:r w:rsidRPr="00813E2C">
        <w:rPr>
          <w:rFonts w:ascii="Times New Roman" w:hAnsi="Times New Roman"/>
          <w:sz w:val="24"/>
          <w:szCs w:val="24"/>
          <w:shd w:val="clear" w:color="auto" w:fill="FFFFFF"/>
          <w:lang w:val="en-GB"/>
        </w:rPr>
        <w:t>the obligations undertaken under the Treaty</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w:t>
      </w:r>
      <w:r w:rsidRPr="00813E2C">
        <w:rPr>
          <w:rFonts w:ascii="Times New Roman" w:hAnsi="Times New Roman"/>
          <w:iCs/>
          <w:sz w:val="24"/>
          <w:szCs w:val="24"/>
          <w:shd w:val="clear" w:color="auto" w:fill="FFFFFF"/>
          <w:lang w:val="en-GB"/>
        </w:rPr>
        <w:t>the framework of the structure and objectives of the Community</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lang w:val="en-GB"/>
        </w:rPr>
        <w:t>.</w:t>
      </w:r>
    </w:p>
    <w:p w:rsidR="005E6612" w:rsidRPr="00813E2C" w:rsidRDefault="005E6612" w:rsidP="00B27D8E">
      <w:pPr>
        <w:spacing w:line="240" w:lineRule="auto"/>
        <w:jc w:val="both"/>
        <w:rPr>
          <w:rFonts w:ascii="Times New Roman" w:hAnsi="Times New Roman"/>
          <w:i/>
          <w:sz w:val="24"/>
          <w:szCs w:val="24"/>
          <w:shd w:val="clear" w:color="auto" w:fill="FFFFFF"/>
          <w:lang w:val="en-GB"/>
        </w:rPr>
      </w:pPr>
      <w:r w:rsidRPr="00813E2C">
        <w:rPr>
          <w:rFonts w:ascii="Times New Roman" w:hAnsi="Times New Roman"/>
          <w:iCs/>
          <w:sz w:val="24"/>
          <w:szCs w:val="24"/>
          <w:shd w:val="clear" w:color="auto" w:fill="FFFFFF"/>
          <w:lang w:val="en-GB"/>
        </w:rPr>
        <w:t xml:space="preserve">13. </w:t>
      </w:r>
      <w:r w:rsidRPr="00813E2C">
        <w:rPr>
          <w:rFonts w:ascii="Times New Roman" w:hAnsi="Times New Roman"/>
          <w:i/>
          <w:sz w:val="24"/>
          <w:szCs w:val="24"/>
          <w:shd w:val="clear" w:color="auto" w:fill="FFFFFF"/>
          <w:lang w:val="en-GB"/>
        </w:rPr>
        <w:t xml:space="preserve">Teleological arguments referring to the purpose of the </w:t>
      </w:r>
      <w:r>
        <w:rPr>
          <w:rFonts w:ascii="Times New Roman" w:hAnsi="Times New Roman"/>
          <w:i/>
          <w:sz w:val="24"/>
          <w:szCs w:val="24"/>
          <w:shd w:val="clear" w:color="auto" w:fill="FFFFFF"/>
          <w:lang w:val="en-GB"/>
        </w:rPr>
        <w:t>Treaty</w:t>
      </w:r>
      <w:r w:rsidRPr="00813E2C">
        <w:rPr>
          <w:rFonts w:ascii="Times New Roman" w:hAnsi="Times New Roman"/>
          <w:i/>
          <w:sz w:val="24"/>
          <w:szCs w:val="24"/>
          <w:shd w:val="clear" w:color="auto" w:fill="FFFFFF"/>
          <w:lang w:val="en-GB"/>
        </w:rPr>
        <w:t>-maker</w:t>
      </w:r>
    </w:p>
    <w:p w:rsidR="005E6612" w:rsidRPr="00813E2C" w:rsidRDefault="005E6612" w:rsidP="00B27D8E">
      <w:pPr>
        <w:spacing w:line="240" w:lineRule="auto"/>
        <w:jc w:val="both"/>
        <w:rPr>
          <w:rFonts w:ascii="Times New Roman" w:hAnsi="Times New Roman"/>
          <w:iCs/>
          <w:sz w:val="24"/>
          <w:szCs w:val="24"/>
          <w:shd w:val="clear" w:color="auto" w:fill="FFFFFF"/>
          <w:lang w:val="en-GB"/>
        </w:rPr>
      </w:pPr>
      <w:r>
        <w:rPr>
          <w:rFonts w:ascii="Times New Roman" w:hAnsi="Times New Roman"/>
          <w:iCs/>
          <w:sz w:val="24"/>
          <w:szCs w:val="24"/>
          <w:shd w:val="clear" w:color="auto" w:fill="FFFFFF"/>
          <w:lang w:val="en-GB"/>
        </w:rPr>
        <w:t>W</w:t>
      </w:r>
      <w:r w:rsidRPr="00813E2C">
        <w:rPr>
          <w:rFonts w:ascii="Times New Roman" w:hAnsi="Times New Roman"/>
          <w:iCs/>
          <w:sz w:val="24"/>
          <w:szCs w:val="24"/>
          <w:shd w:val="clear" w:color="auto" w:fill="FFFFFF"/>
          <w:lang w:val="en-GB"/>
        </w:rPr>
        <w:t>e found only one case in which perhaps it is possible to sustain that the Court has made reference to the subjective intentions of the framers of the Treaty, although the point is uncertain and open to different qualifications</w:t>
      </w:r>
      <w:r>
        <w:rPr>
          <w:rFonts w:ascii="Times New Roman" w:hAnsi="Times New Roman"/>
          <w:iCs/>
          <w:sz w:val="24"/>
          <w:szCs w:val="24"/>
          <w:shd w:val="clear" w:color="auto" w:fill="FFFFFF"/>
          <w:lang w:val="en-GB"/>
        </w:rPr>
        <w:t>.</w:t>
      </w:r>
      <w:r w:rsidRPr="00813E2C">
        <w:rPr>
          <w:rStyle w:val="Rimandonotaapidipagina"/>
          <w:rFonts w:ascii="Times New Roman" w:hAnsi="Times New Roman"/>
          <w:iCs/>
          <w:sz w:val="24"/>
          <w:szCs w:val="24"/>
          <w:shd w:val="clear" w:color="auto" w:fill="FFFFFF"/>
          <w:lang w:val="en-GB"/>
        </w:rPr>
        <w:footnoteReference w:id="77"/>
      </w:r>
      <w:r w:rsidRPr="009B3927">
        <w:rPr>
          <w:rFonts w:ascii="Times New Roman" w:hAnsi="Times New Roman"/>
          <w:iCs/>
          <w:sz w:val="24"/>
          <w:szCs w:val="24"/>
          <w:shd w:val="clear" w:color="auto" w:fill="FFFFFF"/>
          <w:lang w:val="en-GB"/>
        </w:rPr>
        <w:t xml:space="preserve"> </w:t>
      </w:r>
      <w:r w:rsidRPr="00813E2C">
        <w:rPr>
          <w:rFonts w:ascii="Times New Roman" w:hAnsi="Times New Roman"/>
          <w:iCs/>
          <w:sz w:val="24"/>
          <w:szCs w:val="24"/>
          <w:shd w:val="clear" w:color="auto" w:fill="FFFFFF"/>
          <w:lang w:val="en-GB"/>
        </w:rPr>
        <w:t xml:space="preserve">References to the </w:t>
      </w:r>
      <w:r>
        <w:rPr>
          <w:rFonts w:ascii="Times New Roman" w:hAnsi="Times New Roman"/>
          <w:iCs/>
          <w:sz w:val="24"/>
          <w:szCs w:val="24"/>
          <w:shd w:val="clear" w:color="auto" w:fill="FFFFFF"/>
          <w:lang w:val="en-GB"/>
        </w:rPr>
        <w:t>P</w:t>
      </w:r>
      <w:r w:rsidRPr="00813E2C">
        <w:rPr>
          <w:rFonts w:ascii="Times New Roman" w:hAnsi="Times New Roman"/>
          <w:iCs/>
          <w:sz w:val="24"/>
          <w:szCs w:val="24"/>
          <w:shd w:val="clear" w:color="auto" w:fill="FFFFFF"/>
          <w:lang w:val="en-GB"/>
        </w:rPr>
        <w:t xml:space="preserve">reamble of the </w:t>
      </w:r>
      <w:r>
        <w:rPr>
          <w:rFonts w:ascii="Times New Roman" w:hAnsi="Times New Roman"/>
          <w:iCs/>
          <w:sz w:val="24"/>
          <w:szCs w:val="24"/>
          <w:shd w:val="clear" w:color="auto" w:fill="FFFFFF"/>
          <w:lang w:val="en-GB"/>
        </w:rPr>
        <w:t xml:space="preserve">EC </w:t>
      </w:r>
      <w:r w:rsidRPr="00813E2C">
        <w:rPr>
          <w:rFonts w:ascii="Times New Roman" w:hAnsi="Times New Roman"/>
          <w:iCs/>
          <w:sz w:val="24"/>
          <w:szCs w:val="24"/>
          <w:shd w:val="clear" w:color="auto" w:fill="FFFFFF"/>
          <w:lang w:val="en-GB"/>
        </w:rPr>
        <w:t>Treat</w:t>
      </w:r>
      <w:r>
        <w:rPr>
          <w:rFonts w:ascii="Times New Roman" w:hAnsi="Times New Roman"/>
          <w:iCs/>
          <w:sz w:val="24"/>
          <w:szCs w:val="24"/>
          <w:shd w:val="clear" w:color="auto" w:fill="FFFFFF"/>
          <w:lang w:val="en-GB"/>
        </w:rPr>
        <w:t xml:space="preserve">y </w:t>
      </w:r>
      <w:r w:rsidRPr="00813E2C">
        <w:rPr>
          <w:rFonts w:ascii="Times New Roman" w:hAnsi="Times New Roman"/>
          <w:iCs/>
          <w:sz w:val="24"/>
          <w:szCs w:val="24"/>
          <w:shd w:val="clear" w:color="auto" w:fill="FFFFFF"/>
          <w:lang w:val="en-GB"/>
        </w:rPr>
        <w:t>(</w:t>
      </w:r>
      <w:r>
        <w:rPr>
          <w:rFonts w:ascii="Times New Roman" w:hAnsi="Times New Roman"/>
          <w:iCs/>
          <w:sz w:val="24"/>
          <w:szCs w:val="24"/>
          <w:shd w:val="clear" w:color="auto" w:fill="FFFFFF"/>
          <w:lang w:val="en-GB"/>
        </w:rPr>
        <w:t xml:space="preserve">‘... </w:t>
      </w:r>
      <w:r w:rsidRPr="00813E2C">
        <w:rPr>
          <w:rFonts w:ascii="Times New Roman" w:hAnsi="Times New Roman"/>
          <w:iCs/>
          <w:sz w:val="24"/>
          <w:szCs w:val="24"/>
          <w:shd w:val="clear" w:color="auto" w:fill="FFFFFF"/>
          <w:lang w:val="en-GB"/>
        </w:rPr>
        <w:t>which refers not only to governments but to peoples</w:t>
      </w:r>
      <w:r>
        <w:rPr>
          <w:rFonts w:ascii="Times New Roman" w:hAnsi="Times New Roman"/>
          <w:iCs/>
          <w:sz w:val="24"/>
          <w:szCs w:val="24"/>
          <w:shd w:val="clear" w:color="auto" w:fill="FFFFFF"/>
          <w:lang w:val="en-GB"/>
        </w:rPr>
        <w:t xml:space="preserve"> ...’)</w:t>
      </w:r>
      <w:r w:rsidRPr="00813E2C">
        <w:rPr>
          <w:rStyle w:val="Rimandonotaapidipagina"/>
          <w:rFonts w:ascii="Times New Roman" w:hAnsi="Times New Roman"/>
          <w:iCs/>
          <w:sz w:val="24"/>
          <w:szCs w:val="24"/>
          <w:shd w:val="clear" w:color="auto" w:fill="FFFFFF"/>
          <w:lang w:val="en-GB"/>
        </w:rPr>
        <w:footnoteReference w:id="78"/>
      </w:r>
      <w:r w:rsidRPr="00813E2C">
        <w:rPr>
          <w:rFonts w:ascii="Times New Roman" w:hAnsi="Times New Roman"/>
          <w:iCs/>
          <w:sz w:val="24"/>
          <w:szCs w:val="24"/>
          <w:shd w:val="clear" w:color="auto" w:fill="FFFFFF"/>
          <w:lang w:val="en-GB"/>
        </w:rPr>
        <w:t xml:space="preserve"> can in no way be considered as instances of subjective teleological reasoning because the Court is not at all interested in what the framers had in mind</w:t>
      </w:r>
      <w:r>
        <w:rPr>
          <w:rFonts w:ascii="Times New Roman" w:hAnsi="Times New Roman"/>
          <w:iCs/>
          <w:sz w:val="24"/>
          <w:szCs w:val="24"/>
          <w:shd w:val="clear" w:color="auto" w:fill="FFFFFF"/>
          <w:lang w:val="en-GB"/>
        </w:rPr>
        <w:t xml:space="preserve"> </w:t>
      </w:r>
      <w:r w:rsidRPr="00813E2C">
        <w:rPr>
          <w:rFonts w:ascii="Times New Roman" w:hAnsi="Times New Roman"/>
          <w:iCs/>
          <w:sz w:val="24"/>
          <w:szCs w:val="24"/>
          <w:shd w:val="clear" w:color="auto" w:fill="FFFFFF"/>
          <w:lang w:val="en-GB"/>
        </w:rPr>
        <w:t>–</w:t>
      </w:r>
      <w:r>
        <w:rPr>
          <w:rFonts w:ascii="Times New Roman" w:hAnsi="Times New Roman"/>
          <w:iCs/>
          <w:sz w:val="24"/>
          <w:szCs w:val="24"/>
          <w:shd w:val="clear" w:color="auto" w:fill="FFFFFF"/>
          <w:lang w:val="en-GB"/>
        </w:rPr>
        <w:t xml:space="preserve"> t</w:t>
      </w:r>
      <w:r w:rsidRPr="00813E2C">
        <w:rPr>
          <w:rFonts w:ascii="Times New Roman" w:hAnsi="Times New Roman"/>
          <w:iCs/>
          <w:sz w:val="24"/>
          <w:szCs w:val="24"/>
          <w:shd w:val="clear" w:color="auto" w:fill="FFFFFF"/>
          <w:lang w:val="en-GB"/>
        </w:rPr>
        <w:t>hey are essentially devoted to reinforc</w:t>
      </w:r>
      <w:r>
        <w:rPr>
          <w:rFonts w:ascii="Times New Roman" w:hAnsi="Times New Roman"/>
          <w:iCs/>
          <w:sz w:val="24"/>
          <w:szCs w:val="24"/>
          <w:shd w:val="clear" w:color="auto" w:fill="FFFFFF"/>
          <w:lang w:val="en-GB"/>
        </w:rPr>
        <w:t>ing</w:t>
      </w:r>
      <w:r w:rsidRPr="00813E2C">
        <w:rPr>
          <w:rFonts w:ascii="Times New Roman" w:hAnsi="Times New Roman"/>
          <w:iCs/>
          <w:sz w:val="24"/>
          <w:szCs w:val="24"/>
          <w:shd w:val="clear" w:color="auto" w:fill="FFFFFF"/>
          <w:lang w:val="en-GB"/>
        </w:rPr>
        <w:t xml:space="preserve"> objective teleological argumentation by providing the Court with </w:t>
      </w:r>
      <w:r>
        <w:rPr>
          <w:rFonts w:ascii="Times New Roman" w:hAnsi="Times New Roman"/>
          <w:iCs/>
          <w:sz w:val="24"/>
          <w:szCs w:val="24"/>
          <w:shd w:val="clear" w:color="auto" w:fill="FFFFFF"/>
          <w:lang w:val="en-GB"/>
        </w:rPr>
        <w:t xml:space="preserve">a supplement to all-encompassing goals and insights into the </w:t>
      </w:r>
      <w:r w:rsidRPr="00813E2C">
        <w:rPr>
          <w:rFonts w:ascii="Times New Roman" w:hAnsi="Times New Roman"/>
          <w:iCs/>
          <w:sz w:val="24"/>
          <w:szCs w:val="24"/>
          <w:shd w:val="clear" w:color="auto" w:fill="FFFFFF"/>
          <w:lang w:val="en-GB"/>
        </w:rPr>
        <w:t xml:space="preserve">deep </w:t>
      </w:r>
      <w:r w:rsidRPr="00813E2C">
        <w:rPr>
          <w:rFonts w:ascii="Times New Roman" w:hAnsi="Times New Roman"/>
          <w:i/>
          <w:sz w:val="24"/>
          <w:szCs w:val="24"/>
          <w:shd w:val="clear" w:color="auto" w:fill="FFFFFF"/>
          <w:lang w:val="en-GB"/>
        </w:rPr>
        <w:t>raison d'</w:t>
      </w:r>
      <w:r>
        <w:rPr>
          <w:rFonts w:ascii="Times New Roman" w:hAnsi="Times New Roman"/>
          <w:i/>
          <w:sz w:val="24"/>
          <w:szCs w:val="24"/>
          <w:shd w:val="clear" w:color="auto" w:fill="FFFFFF"/>
          <w:lang w:val="en-GB"/>
        </w:rPr>
        <w:t>ê</w:t>
      </w:r>
      <w:r w:rsidRPr="00813E2C">
        <w:rPr>
          <w:rFonts w:ascii="Times New Roman" w:hAnsi="Times New Roman"/>
          <w:i/>
          <w:sz w:val="24"/>
          <w:szCs w:val="24"/>
          <w:shd w:val="clear" w:color="auto" w:fill="FFFFFF"/>
          <w:lang w:val="en-GB"/>
        </w:rPr>
        <w:t>tre</w:t>
      </w:r>
      <w:r w:rsidRPr="00813E2C">
        <w:rPr>
          <w:rFonts w:ascii="Times New Roman" w:hAnsi="Times New Roman"/>
          <w:iCs/>
          <w:sz w:val="24"/>
          <w:szCs w:val="24"/>
          <w:shd w:val="clear" w:color="auto" w:fill="FFFFFF"/>
          <w:lang w:val="en-GB"/>
        </w:rPr>
        <w:t xml:space="preserve"> of the </w:t>
      </w:r>
      <w:r>
        <w:rPr>
          <w:rFonts w:ascii="Times New Roman" w:hAnsi="Times New Roman"/>
          <w:iCs/>
          <w:sz w:val="24"/>
          <w:szCs w:val="24"/>
          <w:shd w:val="clear" w:color="auto" w:fill="FFFFFF"/>
          <w:lang w:val="en-GB"/>
        </w:rPr>
        <w:t>Union</w:t>
      </w:r>
      <w:r w:rsidRPr="00813E2C">
        <w:rPr>
          <w:rFonts w:ascii="Times New Roman" w:hAnsi="Times New Roman"/>
          <w:iCs/>
          <w:sz w:val="24"/>
          <w:szCs w:val="24"/>
          <w:shd w:val="clear" w:color="auto" w:fill="FFFFFF"/>
          <w:lang w:val="en-GB"/>
        </w:rPr>
        <w:t>.</w:t>
      </w:r>
    </w:p>
    <w:p w:rsidR="005E6612" w:rsidRDefault="005E6612" w:rsidP="00B27D8E">
      <w:pPr>
        <w:spacing w:line="240" w:lineRule="auto"/>
        <w:jc w:val="both"/>
        <w:rPr>
          <w:rFonts w:ascii="Times New Roman" w:hAnsi="Times New Roman"/>
          <w:iCs/>
          <w:sz w:val="24"/>
          <w:szCs w:val="24"/>
          <w:shd w:val="clear" w:color="auto" w:fill="FFFFFF"/>
          <w:lang w:val="en-GB"/>
        </w:rPr>
      </w:pPr>
      <w:r>
        <w:rPr>
          <w:rFonts w:ascii="Times New Roman" w:hAnsi="Times New Roman"/>
          <w:iCs/>
          <w:sz w:val="24"/>
          <w:szCs w:val="24"/>
          <w:shd w:val="clear" w:color="auto" w:fill="FFFFFF"/>
          <w:lang w:val="en-GB"/>
        </w:rPr>
        <w:t xml:space="preserve">Indeed, some early rulings by the Court resolutely denied any </w:t>
      </w:r>
      <w:r w:rsidRPr="00813E2C">
        <w:rPr>
          <w:rFonts w:ascii="Times New Roman" w:hAnsi="Times New Roman"/>
          <w:iCs/>
          <w:sz w:val="24"/>
          <w:szCs w:val="24"/>
          <w:shd w:val="clear" w:color="auto" w:fill="FFFFFF"/>
          <w:lang w:val="en-GB"/>
        </w:rPr>
        <w:t>binding or even persuasive force to the original intentions of the (representatives of) the</w:t>
      </w:r>
      <w:r>
        <w:rPr>
          <w:rFonts w:ascii="Times New Roman" w:hAnsi="Times New Roman"/>
          <w:iCs/>
          <w:sz w:val="24"/>
          <w:szCs w:val="24"/>
          <w:shd w:val="clear" w:color="auto" w:fill="FFFFFF"/>
          <w:lang w:val="en-GB"/>
        </w:rPr>
        <w:t xml:space="preserve"> Contracting P</w:t>
      </w:r>
      <w:r w:rsidRPr="00813E2C">
        <w:rPr>
          <w:rFonts w:ascii="Times New Roman" w:hAnsi="Times New Roman"/>
          <w:iCs/>
          <w:sz w:val="24"/>
          <w:szCs w:val="24"/>
          <w:shd w:val="clear" w:color="auto" w:fill="FFFFFF"/>
          <w:lang w:val="en-GB"/>
        </w:rPr>
        <w:t>arties</w:t>
      </w:r>
      <w:r>
        <w:rPr>
          <w:rFonts w:ascii="Times New Roman" w:hAnsi="Times New Roman"/>
          <w:iCs/>
          <w:sz w:val="24"/>
          <w:szCs w:val="24"/>
          <w:shd w:val="clear" w:color="auto" w:fill="FFFFFF"/>
          <w:lang w:val="en-GB"/>
        </w:rPr>
        <w:t xml:space="preserve">, and this view was further articulated by some of the most authoritative judges of the Court in public speeches and journal </w:t>
      </w:r>
      <w:r>
        <w:rPr>
          <w:rFonts w:ascii="Times New Roman" w:hAnsi="Times New Roman"/>
          <w:iCs/>
          <w:sz w:val="24"/>
          <w:szCs w:val="24"/>
          <w:shd w:val="clear" w:color="auto" w:fill="FFFFFF"/>
          <w:lang w:val="en-GB"/>
        </w:rPr>
        <w:lastRenderedPageBreak/>
        <w:t>articles.</w:t>
      </w:r>
      <w:r w:rsidRPr="00813E2C">
        <w:rPr>
          <w:rStyle w:val="Rimandonotaapidipagina"/>
          <w:rFonts w:ascii="Times New Roman" w:hAnsi="Times New Roman"/>
          <w:iCs/>
          <w:sz w:val="24"/>
          <w:szCs w:val="24"/>
          <w:shd w:val="clear" w:color="auto" w:fill="FFFFFF"/>
          <w:lang w:val="en-GB"/>
        </w:rPr>
        <w:footnoteReference w:id="79"/>
      </w:r>
      <w:r w:rsidRPr="00813E2C">
        <w:rPr>
          <w:rFonts w:ascii="Times New Roman" w:hAnsi="Times New Roman"/>
          <w:iCs/>
          <w:sz w:val="24"/>
          <w:szCs w:val="24"/>
          <w:shd w:val="clear" w:color="auto" w:fill="FFFFFF"/>
          <w:lang w:val="en-GB"/>
        </w:rPr>
        <w:t xml:space="preserve"> The reason publicly given is that the Court cannot rely on documents which have not been published and which are not, therefore, accessible to the general public</w:t>
      </w:r>
      <w:r>
        <w:rPr>
          <w:rFonts w:ascii="Times New Roman" w:hAnsi="Times New Roman"/>
          <w:iCs/>
          <w:sz w:val="24"/>
          <w:szCs w:val="24"/>
          <w:shd w:val="clear" w:color="auto" w:fill="FFFFFF"/>
          <w:lang w:val="en-GB"/>
        </w:rPr>
        <w:t>.</w:t>
      </w:r>
      <w:r w:rsidRPr="00813E2C">
        <w:rPr>
          <w:rStyle w:val="Rimandonotaapidipagina"/>
          <w:rFonts w:ascii="Times New Roman" w:hAnsi="Times New Roman"/>
          <w:iCs/>
          <w:sz w:val="24"/>
          <w:szCs w:val="24"/>
          <w:shd w:val="clear" w:color="auto" w:fill="FFFFFF"/>
          <w:lang w:val="en-GB"/>
        </w:rPr>
        <w:footnoteReference w:id="80"/>
      </w:r>
      <w:r w:rsidRPr="00813E2C">
        <w:rPr>
          <w:rFonts w:ascii="Times New Roman" w:hAnsi="Times New Roman"/>
          <w:iCs/>
          <w:sz w:val="24"/>
          <w:szCs w:val="24"/>
          <w:shd w:val="clear" w:color="auto" w:fill="FFFFFF"/>
          <w:lang w:val="en-GB"/>
        </w:rPr>
        <w:t xml:space="preserve"> It is likely, however, that the </w:t>
      </w:r>
      <w:r>
        <w:rPr>
          <w:rFonts w:ascii="Times New Roman" w:hAnsi="Times New Roman"/>
          <w:iCs/>
          <w:sz w:val="24"/>
          <w:szCs w:val="24"/>
          <w:shd w:val="clear" w:color="auto" w:fill="FFFFFF"/>
          <w:lang w:val="en-GB"/>
        </w:rPr>
        <w:t xml:space="preserve">guiding consideration </w:t>
      </w:r>
      <w:r w:rsidRPr="00813E2C">
        <w:rPr>
          <w:rFonts w:ascii="Times New Roman" w:hAnsi="Times New Roman"/>
          <w:iCs/>
          <w:sz w:val="24"/>
          <w:szCs w:val="24"/>
          <w:shd w:val="clear" w:color="auto" w:fill="FFFFFF"/>
          <w:lang w:val="en-GB"/>
        </w:rPr>
        <w:t xml:space="preserve">is that the </w:t>
      </w:r>
      <w:r w:rsidRPr="003D634E">
        <w:rPr>
          <w:rFonts w:ascii="Times New Roman" w:hAnsi="Times New Roman"/>
          <w:iCs/>
          <w:sz w:val="24"/>
          <w:szCs w:val="24"/>
          <w:shd w:val="clear" w:color="auto" w:fill="FFFFFF"/>
          <w:lang w:val="en-GB"/>
        </w:rPr>
        <w:t xml:space="preserve">Court </w:t>
      </w:r>
      <w:r>
        <w:rPr>
          <w:rFonts w:ascii="Times New Roman" w:hAnsi="Times New Roman"/>
          <w:iCs/>
          <w:sz w:val="24"/>
          <w:szCs w:val="24"/>
          <w:shd w:val="clear" w:color="auto" w:fill="FFFFFF"/>
          <w:lang w:val="en-GB"/>
        </w:rPr>
        <w:t xml:space="preserve">does </w:t>
      </w:r>
      <w:r w:rsidRPr="00813E2C">
        <w:rPr>
          <w:rFonts w:ascii="Times New Roman" w:hAnsi="Times New Roman"/>
          <w:iCs/>
          <w:sz w:val="24"/>
          <w:szCs w:val="24"/>
          <w:shd w:val="clear" w:color="auto" w:fill="FFFFFF"/>
          <w:lang w:val="en-GB"/>
        </w:rPr>
        <w:t>not want to tie the future developments of E</w:t>
      </w:r>
      <w:r>
        <w:rPr>
          <w:rFonts w:ascii="Times New Roman" w:hAnsi="Times New Roman"/>
          <w:iCs/>
          <w:sz w:val="24"/>
          <w:szCs w:val="24"/>
          <w:shd w:val="clear" w:color="auto" w:fill="FFFFFF"/>
          <w:lang w:val="en-GB"/>
        </w:rPr>
        <w:t xml:space="preserve">U </w:t>
      </w:r>
      <w:r w:rsidRPr="00813E2C">
        <w:rPr>
          <w:rFonts w:ascii="Times New Roman" w:hAnsi="Times New Roman"/>
          <w:iCs/>
          <w:sz w:val="24"/>
          <w:szCs w:val="24"/>
          <w:shd w:val="clear" w:color="auto" w:fill="FFFFFF"/>
          <w:lang w:val="en-GB"/>
        </w:rPr>
        <w:t xml:space="preserve">law to the past intentions of the representatives of the Contracting Parties. Besides, international treaties are not usually interpreted </w:t>
      </w:r>
      <w:r>
        <w:rPr>
          <w:rFonts w:ascii="Times New Roman" w:hAnsi="Times New Roman"/>
          <w:iCs/>
          <w:sz w:val="24"/>
          <w:szCs w:val="24"/>
          <w:shd w:val="clear" w:color="auto" w:fill="FFFFFF"/>
          <w:lang w:val="en-GB"/>
        </w:rPr>
        <w:t xml:space="preserve">in this way, </w:t>
      </w:r>
      <w:r w:rsidRPr="00813E2C">
        <w:rPr>
          <w:rFonts w:ascii="Times New Roman" w:hAnsi="Times New Roman"/>
          <w:iCs/>
          <w:sz w:val="24"/>
          <w:szCs w:val="24"/>
          <w:shd w:val="clear" w:color="auto" w:fill="FFFFFF"/>
          <w:lang w:val="en-GB"/>
        </w:rPr>
        <w:t>by having recourse to the original intentions</w:t>
      </w:r>
      <w:r>
        <w:rPr>
          <w:rFonts w:ascii="Times New Roman" w:hAnsi="Times New Roman"/>
          <w:iCs/>
          <w:sz w:val="24"/>
          <w:szCs w:val="24"/>
          <w:shd w:val="clear" w:color="auto" w:fill="FFFFFF"/>
          <w:lang w:val="en-GB"/>
        </w:rPr>
        <w:t xml:space="preserve"> of the States’ </w:t>
      </w:r>
      <w:r w:rsidRPr="00813E2C">
        <w:rPr>
          <w:rFonts w:ascii="Times New Roman" w:hAnsi="Times New Roman"/>
          <w:iCs/>
          <w:sz w:val="24"/>
          <w:szCs w:val="24"/>
          <w:shd w:val="clear" w:color="auto" w:fill="FFFFFF"/>
          <w:lang w:val="en-GB"/>
        </w:rPr>
        <w:t xml:space="preserve">representatives. </w:t>
      </w:r>
      <w:r>
        <w:rPr>
          <w:rFonts w:ascii="Times New Roman" w:hAnsi="Times New Roman"/>
          <w:iCs/>
          <w:sz w:val="24"/>
          <w:szCs w:val="24"/>
          <w:shd w:val="clear" w:color="auto" w:fill="FFFFFF"/>
          <w:lang w:val="en-GB"/>
        </w:rPr>
        <w:t xml:space="preserve">The </w:t>
      </w:r>
      <w:r w:rsidRPr="00813E2C">
        <w:rPr>
          <w:rFonts w:ascii="Times New Roman" w:hAnsi="Times New Roman"/>
          <w:iCs/>
          <w:sz w:val="24"/>
          <w:szCs w:val="24"/>
          <w:shd w:val="clear" w:color="auto" w:fill="FFFFFF"/>
          <w:lang w:val="en-GB"/>
        </w:rPr>
        <w:t>Vienna Convention on the Law of Treaties</w:t>
      </w:r>
      <w:r>
        <w:rPr>
          <w:rFonts w:ascii="Times New Roman" w:hAnsi="Times New Roman"/>
          <w:iCs/>
          <w:sz w:val="24"/>
          <w:szCs w:val="24"/>
          <w:shd w:val="clear" w:color="auto" w:fill="FFFFFF"/>
          <w:lang w:val="en-GB"/>
        </w:rPr>
        <w:t xml:space="preserve"> establishes a different criterion of subjective interpretation which the </w:t>
      </w:r>
      <w:r w:rsidRPr="003D634E">
        <w:rPr>
          <w:rFonts w:ascii="Times New Roman" w:hAnsi="Times New Roman"/>
          <w:iCs/>
          <w:sz w:val="24"/>
          <w:szCs w:val="24"/>
          <w:shd w:val="clear" w:color="auto" w:fill="FFFFFF"/>
          <w:lang w:val="en-GB"/>
        </w:rPr>
        <w:t>Court of Justice</w:t>
      </w:r>
      <w:r>
        <w:rPr>
          <w:rFonts w:ascii="Times New Roman" w:hAnsi="Times New Roman"/>
          <w:iCs/>
          <w:sz w:val="24"/>
          <w:szCs w:val="24"/>
          <w:shd w:val="clear" w:color="auto" w:fill="FFFFFF"/>
          <w:lang w:val="en-GB"/>
        </w:rPr>
        <w:t xml:space="preserve">, however, does not follow: the Court </w:t>
      </w:r>
      <w:r w:rsidRPr="00813E2C">
        <w:rPr>
          <w:rFonts w:ascii="Times New Roman" w:hAnsi="Times New Roman"/>
          <w:iCs/>
          <w:sz w:val="24"/>
          <w:szCs w:val="24"/>
          <w:shd w:val="clear" w:color="auto" w:fill="FFFFFF"/>
          <w:lang w:val="en-GB"/>
        </w:rPr>
        <w:t>does not make reference to the subsequent agreements between the parties nor to their subsequent practice in</w:t>
      </w:r>
      <w:r>
        <w:rPr>
          <w:rFonts w:ascii="Times New Roman" w:hAnsi="Times New Roman"/>
          <w:iCs/>
          <w:sz w:val="24"/>
          <w:szCs w:val="24"/>
          <w:shd w:val="clear" w:color="auto" w:fill="FFFFFF"/>
          <w:lang w:val="en-GB"/>
        </w:rPr>
        <w:t xml:space="preserve"> the application of the treaty</w:t>
      </w:r>
      <w:r w:rsidRPr="00813E2C">
        <w:rPr>
          <w:rFonts w:ascii="Times New Roman" w:hAnsi="Times New Roman"/>
          <w:iCs/>
          <w:sz w:val="24"/>
          <w:szCs w:val="24"/>
          <w:shd w:val="clear" w:color="auto" w:fill="FFFFFF"/>
          <w:lang w:val="en-GB"/>
        </w:rPr>
        <w:t xml:space="preserve">. </w:t>
      </w:r>
    </w:p>
    <w:p w:rsidR="005E6612" w:rsidRDefault="005E6612" w:rsidP="00B27D8E">
      <w:pPr>
        <w:spacing w:line="240" w:lineRule="auto"/>
        <w:jc w:val="both"/>
        <w:rPr>
          <w:rFonts w:ascii="Times New Roman" w:hAnsi="Times New Roman"/>
          <w:iCs/>
          <w:sz w:val="24"/>
          <w:szCs w:val="24"/>
          <w:shd w:val="clear" w:color="auto" w:fill="FFFFFF"/>
          <w:lang w:val="en-GB"/>
        </w:rPr>
      </w:pPr>
      <w:r>
        <w:rPr>
          <w:rFonts w:ascii="Times New Roman" w:hAnsi="Times New Roman"/>
          <w:iCs/>
          <w:sz w:val="24"/>
          <w:szCs w:val="24"/>
          <w:shd w:val="clear" w:color="auto" w:fill="FFFFFF"/>
          <w:lang w:val="en-GB"/>
        </w:rPr>
        <w:t>Thus, s</w:t>
      </w:r>
      <w:r w:rsidRPr="008E55D4">
        <w:rPr>
          <w:rFonts w:ascii="Times New Roman" w:hAnsi="Times New Roman"/>
          <w:iCs/>
          <w:sz w:val="24"/>
          <w:szCs w:val="24"/>
          <w:shd w:val="clear" w:color="auto" w:fill="FFFFFF"/>
          <w:lang w:val="en-GB"/>
        </w:rPr>
        <w:t xml:space="preserve">ubjective criteria of </w:t>
      </w:r>
      <w:r>
        <w:rPr>
          <w:rFonts w:ascii="Times New Roman" w:hAnsi="Times New Roman"/>
          <w:iCs/>
          <w:sz w:val="24"/>
          <w:szCs w:val="24"/>
          <w:shd w:val="clear" w:color="auto" w:fill="FFFFFF"/>
          <w:lang w:val="en-GB"/>
        </w:rPr>
        <w:t xml:space="preserve">treaty </w:t>
      </w:r>
      <w:r w:rsidRPr="008E55D4">
        <w:rPr>
          <w:rFonts w:ascii="Times New Roman" w:hAnsi="Times New Roman"/>
          <w:iCs/>
          <w:sz w:val="24"/>
          <w:szCs w:val="24"/>
          <w:shd w:val="clear" w:color="auto" w:fill="FFFFFF"/>
          <w:lang w:val="en-GB"/>
        </w:rPr>
        <w:t xml:space="preserve">interpretation are </w:t>
      </w:r>
      <w:r>
        <w:rPr>
          <w:rFonts w:ascii="Times New Roman" w:hAnsi="Times New Roman"/>
          <w:iCs/>
          <w:sz w:val="24"/>
          <w:szCs w:val="24"/>
          <w:shd w:val="clear" w:color="auto" w:fill="FFFFFF"/>
          <w:lang w:val="en-GB"/>
        </w:rPr>
        <w:t xml:space="preserve">almost entirely </w:t>
      </w:r>
      <w:r w:rsidRPr="008E55D4">
        <w:rPr>
          <w:rFonts w:ascii="Times New Roman" w:hAnsi="Times New Roman"/>
          <w:iCs/>
          <w:sz w:val="24"/>
          <w:szCs w:val="24"/>
          <w:shd w:val="clear" w:color="auto" w:fill="FFFFFF"/>
          <w:lang w:val="en-GB"/>
        </w:rPr>
        <w:t xml:space="preserve">absent from the </w:t>
      </w:r>
      <w:r>
        <w:rPr>
          <w:rFonts w:ascii="Times New Roman" w:hAnsi="Times New Roman"/>
          <w:iCs/>
          <w:sz w:val="24"/>
          <w:szCs w:val="24"/>
          <w:shd w:val="clear" w:color="auto" w:fill="FFFFFF"/>
          <w:lang w:val="en-GB"/>
        </w:rPr>
        <w:t>legal reasoning of the Court. O</w:t>
      </w:r>
      <w:r w:rsidRPr="008E55D4">
        <w:rPr>
          <w:rFonts w:ascii="Times New Roman" w:hAnsi="Times New Roman"/>
          <w:iCs/>
          <w:sz w:val="24"/>
          <w:szCs w:val="24"/>
          <w:shd w:val="clear" w:color="auto" w:fill="FFFFFF"/>
          <w:lang w:val="en-GB"/>
        </w:rPr>
        <w:t xml:space="preserve">ne may wonder whether things will change as </w:t>
      </w:r>
      <w:r>
        <w:rPr>
          <w:rFonts w:ascii="Times New Roman" w:hAnsi="Times New Roman"/>
          <w:iCs/>
          <w:sz w:val="24"/>
          <w:szCs w:val="24"/>
          <w:shd w:val="clear" w:color="auto" w:fill="FFFFFF"/>
          <w:lang w:val="en-GB"/>
        </w:rPr>
        <w:t xml:space="preserve">a </w:t>
      </w:r>
      <w:r w:rsidRPr="008E55D4">
        <w:rPr>
          <w:rFonts w:ascii="Times New Roman" w:hAnsi="Times New Roman"/>
          <w:iCs/>
          <w:sz w:val="24"/>
          <w:szCs w:val="24"/>
          <w:shd w:val="clear" w:color="auto" w:fill="FFFFFF"/>
          <w:lang w:val="en-GB"/>
        </w:rPr>
        <w:t xml:space="preserve">consequence of the increasingly frequent Treaties revisions </w:t>
      </w:r>
      <w:r>
        <w:rPr>
          <w:rFonts w:ascii="Times New Roman" w:hAnsi="Times New Roman"/>
          <w:iCs/>
          <w:sz w:val="24"/>
          <w:szCs w:val="24"/>
          <w:shd w:val="clear" w:color="auto" w:fill="FFFFFF"/>
          <w:lang w:val="en-GB"/>
        </w:rPr>
        <w:t>in</w:t>
      </w:r>
      <w:r w:rsidRPr="008E55D4">
        <w:rPr>
          <w:rFonts w:ascii="Times New Roman" w:hAnsi="Times New Roman"/>
          <w:iCs/>
          <w:sz w:val="24"/>
          <w:szCs w:val="24"/>
          <w:shd w:val="clear" w:color="auto" w:fill="FFFFFF"/>
          <w:lang w:val="en-GB"/>
        </w:rPr>
        <w:t xml:space="preserve"> </w:t>
      </w:r>
      <w:r>
        <w:rPr>
          <w:rFonts w:ascii="Times New Roman" w:hAnsi="Times New Roman"/>
          <w:iCs/>
          <w:sz w:val="24"/>
          <w:szCs w:val="24"/>
          <w:shd w:val="clear" w:color="auto" w:fill="FFFFFF"/>
          <w:lang w:val="en-GB"/>
        </w:rPr>
        <w:t>recent</w:t>
      </w:r>
      <w:r w:rsidRPr="008E55D4">
        <w:rPr>
          <w:rFonts w:ascii="Times New Roman" w:hAnsi="Times New Roman"/>
          <w:iCs/>
          <w:sz w:val="24"/>
          <w:szCs w:val="24"/>
          <w:shd w:val="clear" w:color="auto" w:fill="FFFFFF"/>
          <w:lang w:val="en-GB"/>
        </w:rPr>
        <w:t xml:space="preserve"> </w:t>
      </w:r>
      <w:r>
        <w:rPr>
          <w:rFonts w:ascii="Times New Roman" w:hAnsi="Times New Roman"/>
          <w:iCs/>
          <w:sz w:val="24"/>
          <w:szCs w:val="24"/>
          <w:shd w:val="clear" w:color="auto" w:fill="FFFFFF"/>
          <w:lang w:val="en-GB"/>
        </w:rPr>
        <w:t>years,</w:t>
      </w:r>
      <w:r w:rsidRPr="008E55D4">
        <w:rPr>
          <w:rStyle w:val="Rimandonotaapidipagina"/>
          <w:rFonts w:ascii="Times New Roman" w:hAnsi="Times New Roman"/>
          <w:iCs/>
          <w:sz w:val="24"/>
          <w:szCs w:val="24"/>
          <w:shd w:val="clear" w:color="auto" w:fill="FFFFFF"/>
          <w:lang w:val="en-GB"/>
        </w:rPr>
        <w:footnoteReference w:id="81"/>
      </w:r>
      <w:r>
        <w:rPr>
          <w:rFonts w:ascii="Times New Roman" w:hAnsi="Times New Roman"/>
          <w:iCs/>
          <w:sz w:val="24"/>
          <w:szCs w:val="24"/>
          <w:shd w:val="clear" w:color="auto" w:fill="FFFFFF"/>
          <w:lang w:val="en-GB"/>
        </w:rPr>
        <w:t xml:space="preserve"> but for the time being we can con</w:t>
      </w:r>
      <w:r w:rsidRPr="008E55D4">
        <w:rPr>
          <w:rFonts w:ascii="Times New Roman" w:hAnsi="Times New Roman"/>
          <w:iCs/>
          <w:sz w:val="24"/>
          <w:szCs w:val="24"/>
          <w:shd w:val="clear" w:color="auto" w:fill="FFFFFF"/>
          <w:lang w:val="en-GB"/>
        </w:rPr>
        <w:t>clude that the Treaties are interpreted like a constitution with no framers</w:t>
      </w:r>
      <w:r>
        <w:rPr>
          <w:rFonts w:ascii="Times New Roman" w:hAnsi="Times New Roman"/>
          <w:iCs/>
          <w:sz w:val="24"/>
          <w:szCs w:val="24"/>
          <w:shd w:val="clear" w:color="auto" w:fill="FFFFFF"/>
          <w:lang w:val="en-GB"/>
        </w:rPr>
        <w:t>,</w:t>
      </w:r>
      <w:r w:rsidRPr="008E55D4">
        <w:rPr>
          <w:rFonts w:ascii="Times New Roman" w:hAnsi="Times New Roman"/>
          <w:iCs/>
          <w:sz w:val="24"/>
          <w:szCs w:val="24"/>
          <w:shd w:val="clear" w:color="auto" w:fill="FFFFFF"/>
          <w:lang w:val="en-GB"/>
        </w:rPr>
        <w:t xml:space="preserve"> or like an inter</w:t>
      </w:r>
      <w:r>
        <w:rPr>
          <w:rFonts w:ascii="Times New Roman" w:hAnsi="Times New Roman"/>
          <w:iCs/>
          <w:sz w:val="24"/>
          <w:szCs w:val="24"/>
          <w:shd w:val="clear" w:color="auto" w:fill="FFFFFF"/>
          <w:lang w:val="en-GB"/>
        </w:rPr>
        <w:t xml:space="preserve">national treaty with no parties. </w:t>
      </w:r>
    </w:p>
    <w:p w:rsidR="005E6612" w:rsidRPr="00813E2C" w:rsidRDefault="005E6612" w:rsidP="00B27D8E">
      <w:pPr>
        <w:spacing w:line="240" w:lineRule="auto"/>
        <w:jc w:val="both"/>
        <w:rPr>
          <w:rFonts w:ascii="Times New Roman" w:hAnsi="Times New Roman"/>
          <w:i/>
          <w:iCs/>
          <w:sz w:val="24"/>
          <w:szCs w:val="24"/>
          <w:shd w:val="clear" w:color="auto" w:fill="FFFFFF"/>
          <w:lang w:val="en-GB"/>
        </w:rPr>
      </w:pPr>
      <w:r w:rsidRPr="00813E2C">
        <w:rPr>
          <w:rFonts w:ascii="Times New Roman" w:hAnsi="Times New Roman"/>
          <w:sz w:val="24"/>
          <w:szCs w:val="24"/>
          <w:shd w:val="clear" w:color="auto" w:fill="FFFFFF"/>
          <w:lang w:val="en-GB"/>
        </w:rPr>
        <w:t xml:space="preserve">14. </w:t>
      </w:r>
      <w:r w:rsidRPr="00813E2C">
        <w:rPr>
          <w:rFonts w:ascii="Times New Roman" w:hAnsi="Times New Roman"/>
          <w:i/>
          <w:iCs/>
          <w:sz w:val="24"/>
          <w:szCs w:val="24"/>
          <w:shd w:val="clear" w:color="auto" w:fill="FFFFFF"/>
          <w:lang w:val="en-GB"/>
        </w:rPr>
        <w:t>Non-legal arguments</w:t>
      </w:r>
    </w:p>
    <w:p w:rsidR="005E6612" w:rsidRDefault="005E6612" w:rsidP="00B27D8E">
      <w:pPr>
        <w:spacing w:line="240" w:lineRule="auto"/>
        <w:jc w:val="both"/>
        <w:rPr>
          <w:rFonts w:ascii="Times New Roman" w:hAnsi="Times New Roman"/>
          <w:sz w:val="24"/>
          <w:szCs w:val="24"/>
          <w:shd w:val="clear" w:color="auto" w:fill="FFFFFF"/>
          <w:lang w:val="en-GB"/>
        </w:rPr>
      </w:pPr>
      <w:r w:rsidRPr="00813E2C">
        <w:rPr>
          <w:rFonts w:ascii="Times New Roman" w:hAnsi="Times New Roman"/>
          <w:sz w:val="24"/>
          <w:szCs w:val="24"/>
          <w:shd w:val="clear" w:color="auto" w:fill="FFFFFF"/>
          <w:lang w:val="en-GB"/>
        </w:rPr>
        <w:t>We did not find any non-legal (moral, sociological, economic) argument</w:t>
      </w:r>
      <w:r>
        <w:rPr>
          <w:rFonts w:ascii="Times New Roman" w:hAnsi="Times New Roman"/>
          <w:sz w:val="24"/>
          <w:szCs w:val="24"/>
          <w:shd w:val="clear" w:color="auto" w:fill="FFFFFF"/>
          <w:lang w:val="en-GB"/>
        </w:rPr>
        <w:t>s</w:t>
      </w:r>
      <w:r w:rsidRPr="00813E2C">
        <w:rPr>
          <w:rFonts w:ascii="Times New Roman" w:hAnsi="Times New Roman"/>
          <w:sz w:val="24"/>
          <w:szCs w:val="24"/>
          <w:shd w:val="clear" w:color="auto" w:fill="FFFFFF"/>
          <w:lang w:val="en-GB"/>
        </w:rPr>
        <w:t xml:space="preserve"> in the Sample. We found, however, some cases in which the Court dismissed a non-legal argument not because of it being unfounded and substantially wrong – which would count as a (negative) instantiation of non-legal argumentation and as such would have been recorded by the research – but because of it being non-pertinent to the case or </w:t>
      </w:r>
      <w:r w:rsidRPr="00813E2C">
        <w:rPr>
          <w:rFonts w:ascii="Times New Roman" w:hAnsi="Times New Roman"/>
          <w:i/>
          <w:iCs/>
          <w:sz w:val="24"/>
          <w:szCs w:val="24"/>
          <w:shd w:val="clear" w:color="auto" w:fill="FFFFFF"/>
          <w:lang w:val="en-GB"/>
        </w:rPr>
        <w:t xml:space="preserve">per se </w:t>
      </w:r>
      <w:r w:rsidRPr="00813E2C">
        <w:rPr>
          <w:rFonts w:ascii="Times New Roman" w:hAnsi="Times New Roman"/>
          <w:sz w:val="24"/>
          <w:szCs w:val="24"/>
          <w:shd w:val="clear" w:color="auto" w:fill="FFFFFF"/>
          <w:lang w:val="en-GB"/>
        </w:rPr>
        <w:t xml:space="preserve">irrelevant. In </w:t>
      </w:r>
      <w:r w:rsidRPr="00813E2C">
        <w:rPr>
          <w:rFonts w:ascii="Times New Roman" w:hAnsi="Times New Roman"/>
          <w:i/>
          <w:iCs/>
          <w:sz w:val="24"/>
          <w:szCs w:val="24"/>
          <w:shd w:val="clear" w:color="auto" w:fill="FFFFFF"/>
          <w:lang w:val="en-GB"/>
        </w:rPr>
        <w:t>Grogan</w:t>
      </w:r>
      <w:r w:rsidRPr="00813E2C">
        <w:rPr>
          <w:rFonts w:ascii="Times New Roman" w:hAnsi="Times New Roman"/>
          <w:sz w:val="24"/>
          <w:szCs w:val="24"/>
          <w:shd w:val="clear" w:color="auto" w:fill="FFFFFF"/>
          <w:lang w:val="en-GB"/>
        </w:rPr>
        <w:t>, fo</w:t>
      </w:r>
      <w:r>
        <w:rPr>
          <w:rFonts w:ascii="Times New Roman" w:hAnsi="Times New Roman"/>
          <w:sz w:val="24"/>
          <w:szCs w:val="24"/>
          <w:shd w:val="clear" w:color="auto" w:fill="FFFFFF"/>
          <w:lang w:val="en-GB"/>
        </w:rPr>
        <w:t>r instance, the Court held that</w:t>
      </w:r>
    </w:p>
    <w:p w:rsidR="005E6612" w:rsidRPr="005E7FC6" w:rsidRDefault="005E6612" w:rsidP="005E7FC6">
      <w:pPr>
        <w:spacing w:line="240" w:lineRule="auto"/>
        <w:ind w:left="708"/>
        <w:jc w:val="both"/>
        <w:rPr>
          <w:rFonts w:ascii="Times New Roman" w:hAnsi="Times New Roman"/>
          <w:sz w:val="20"/>
          <w:szCs w:val="20"/>
          <w:shd w:val="clear" w:color="auto" w:fill="FFFFFF"/>
          <w:lang w:val="en-GB"/>
        </w:rPr>
      </w:pPr>
      <w:r w:rsidRPr="005E7FC6">
        <w:rPr>
          <w:rFonts w:ascii="Times New Roman" w:hAnsi="Times New Roman"/>
          <w:sz w:val="20"/>
          <w:szCs w:val="20"/>
          <w:shd w:val="clear" w:color="auto" w:fill="FFFFFF"/>
          <w:lang w:val="en-GB"/>
        </w:rPr>
        <w:t>Whatever the merits of those arguments [against abortion] on the moral plane, they cannot influence the answer to the national court’s first question. It is not for the Court to substitute its assessment for that of the legislature in those Member States where the activities in question are practised legally.</w:t>
      </w:r>
      <w:r w:rsidRPr="005E7FC6">
        <w:rPr>
          <w:rFonts w:ascii="Times New Roman" w:hAnsi="Times New Roman"/>
          <w:sz w:val="20"/>
          <w:szCs w:val="20"/>
          <w:shd w:val="clear" w:color="auto" w:fill="FFFFFF"/>
          <w:vertAlign w:val="superscript"/>
          <w:lang w:val="en-GB"/>
        </w:rPr>
        <w:footnoteReference w:id="82"/>
      </w:r>
      <w:r w:rsidRPr="005E7FC6">
        <w:rPr>
          <w:rFonts w:ascii="Times New Roman" w:hAnsi="Times New Roman"/>
          <w:sz w:val="20"/>
          <w:szCs w:val="20"/>
          <w:shd w:val="clear" w:color="auto" w:fill="FFFFFF"/>
          <w:lang w:val="en-GB"/>
        </w:rPr>
        <w:t xml:space="preserve"> </w:t>
      </w:r>
    </w:p>
    <w:p w:rsidR="005E6612" w:rsidRDefault="005E6612" w:rsidP="00B27D8E">
      <w:pPr>
        <w:spacing w:line="240" w:lineRule="auto"/>
        <w:jc w:val="both"/>
        <w:rPr>
          <w:rFonts w:ascii="Times New Roman" w:hAnsi="Times New Roman"/>
          <w:sz w:val="24"/>
          <w:szCs w:val="24"/>
          <w:shd w:val="clear" w:color="auto" w:fill="FFFFFF"/>
          <w:lang w:val="en-GB"/>
        </w:rPr>
      </w:pPr>
      <w:r w:rsidRPr="00813E2C">
        <w:rPr>
          <w:rFonts w:ascii="Times New Roman" w:hAnsi="Times New Roman"/>
          <w:sz w:val="24"/>
          <w:szCs w:val="24"/>
          <w:shd w:val="clear" w:color="auto" w:fill="FFFFFF"/>
          <w:lang w:val="en-GB"/>
        </w:rPr>
        <w:t xml:space="preserve">Moreover, on several occasions the </w:t>
      </w:r>
      <w:r w:rsidRPr="003D634E">
        <w:rPr>
          <w:rFonts w:ascii="Times New Roman" w:hAnsi="Times New Roman"/>
          <w:sz w:val="24"/>
          <w:szCs w:val="24"/>
          <w:shd w:val="clear" w:color="auto" w:fill="FFFFFF"/>
          <w:lang w:val="en-GB"/>
        </w:rPr>
        <w:t>Court of Justice</w:t>
      </w:r>
      <w:r w:rsidRPr="00813E2C">
        <w:rPr>
          <w:rFonts w:ascii="Times New Roman" w:hAnsi="Times New Roman"/>
          <w:sz w:val="24"/>
          <w:szCs w:val="24"/>
          <w:shd w:val="clear" w:color="auto" w:fill="FFFFFF"/>
          <w:lang w:val="en-GB"/>
        </w:rPr>
        <w:t xml:space="preserve"> made explicit profession of legal positivism and referred to a doctrine that might be called </w:t>
      </w:r>
      <w:r w:rsidRPr="00813E2C">
        <w:rPr>
          <w:rFonts w:ascii="Times New Roman" w:hAnsi="Times New Roman"/>
          <w:i/>
          <w:iCs/>
          <w:sz w:val="24"/>
          <w:szCs w:val="24"/>
          <w:shd w:val="clear" w:color="auto" w:fill="FFFFFF"/>
          <w:lang w:val="en-GB"/>
        </w:rPr>
        <w:t>dura lex sed lex</w:t>
      </w:r>
      <w:r w:rsidRPr="00813E2C">
        <w:rPr>
          <w:rFonts w:ascii="Times New Roman" w:hAnsi="Times New Roman"/>
          <w:sz w:val="24"/>
          <w:szCs w:val="24"/>
          <w:shd w:val="clear" w:color="auto" w:fill="FFFFFF"/>
          <w:lang w:val="en-GB"/>
        </w:rPr>
        <w:t xml:space="preserve">. In </w:t>
      </w:r>
      <w:r w:rsidRPr="00813E2C">
        <w:rPr>
          <w:rFonts w:ascii="Times New Roman" w:hAnsi="Times New Roman"/>
          <w:i/>
          <w:iCs/>
          <w:sz w:val="24"/>
          <w:szCs w:val="24"/>
          <w:shd w:val="clear" w:color="auto" w:fill="FFFFFF"/>
          <w:lang w:val="en-GB"/>
        </w:rPr>
        <w:t>Defrenne</w:t>
      </w:r>
      <w:r w:rsidRPr="00813E2C">
        <w:rPr>
          <w:rFonts w:ascii="Times New Roman" w:hAnsi="Times New Roman"/>
          <w:sz w:val="24"/>
          <w:szCs w:val="24"/>
          <w:shd w:val="clear" w:color="auto" w:fill="FFFFFF"/>
          <w:lang w:val="en-GB"/>
        </w:rPr>
        <w:t xml:space="preserve">, in </w:t>
      </w:r>
      <w:r w:rsidRPr="00813E2C">
        <w:rPr>
          <w:rFonts w:ascii="Times New Roman" w:hAnsi="Times New Roman"/>
          <w:bCs/>
          <w:i/>
          <w:iCs/>
          <w:sz w:val="24"/>
          <w:szCs w:val="24"/>
          <w:shd w:val="clear" w:color="auto" w:fill="FFFFFF"/>
          <w:lang w:val="en-GB"/>
        </w:rPr>
        <w:t>Bosman</w:t>
      </w:r>
      <w:r w:rsidRPr="00813E2C">
        <w:rPr>
          <w:rFonts w:ascii="Times New Roman" w:hAnsi="Times New Roman"/>
          <w:sz w:val="24"/>
          <w:szCs w:val="24"/>
          <w:shd w:val="clear" w:color="auto" w:fill="FFFFFF"/>
          <w:lang w:val="en-GB"/>
        </w:rPr>
        <w:t xml:space="preserve"> and in other cases the Court held that </w:t>
      </w:r>
    </w:p>
    <w:p w:rsidR="005E6612" w:rsidRPr="007F10F8" w:rsidRDefault="005E6612" w:rsidP="007F10F8">
      <w:pPr>
        <w:spacing w:line="240" w:lineRule="auto"/>
        <w:ind w:left="708"/>
        <w:jc w:val="both"/>
        <w:rPr>
          <w:rFonts w:ascii="Times New Roman" w:hAnsi="Times New Roman"/>
          <w:sz w:val="20"/>
          <w:szCs w:val="20"/>
          <w:shd w:val="clear" w:color="auto" w:fill="FFFFFF"/>
          <w:lang w:val="en-GB"/>
        </w:rPr>
      </w:pPr>
      <w:r w:rsidRPr="007F10F8">
        <w:rPr>
          <w:rFonts w:ascii="Times New Roman" w:hAnsi="Times New Roman"/>
          <w:sz w:val="20"/>
          <w:szCs w:val="20"/>
          <w:shd w:val="clear" w:color="auto" w:fill="FFFFFF"/>
          <w:lang w:val="en-GB"/>
        </w:rPr>
        <w:t>[al]though the practical consequences of any judicial decision must be carefully taken into account, it would be impossible to go so far as to diminish the objectivity of the law and compromise its future application on the ground of the possible repercussions which might result, as regards the past, from such a judicial decision.</w:t>
      </w:r>
      <w:r w:rsidRPr="007F10F8">
        <w:rPr>
          <w:rFonts w:ascii="Times New Roman" w:hAnsi="Times New Roman"/>
          <w:sz w:val="20"/>
          <w:szCs w:val="20"/>
          <w:shd w:val="clear" w:color="auto" w:fill="FFFFFF"/>
          <w:vertAlign w:val="superscript"/>
          <w:lang w:val="en-GB"/>
        </w:rPr>
        <w:footnoteReference w:id="83"/>
      </w:r>
      <w:r w:rsidRPr="007F10F8">
        <w:rPr>
          <w:rFonts w:ascii="Times New Roman" w:hAnsi="Times New Roman"/>
          <w:sz w:val="20"/>
          <w:szCs w:val="20"/>
          <w:shd w:val="clear" w:color="auto" w:fill="FFFFFF"/>
          <w:lang w:val="en-GB"/>
        </w:rPr>
        <w:t xml:space="preserve"> </w:t>
      </w:r>
    </w:p>
    <w:p w:rsidR="005E6612" w:rsidRDefault="005E6612" w:rsidP="00B27D8E">
      <w:pPr>
        <w:spacing w:line="240" w:lineRule="auto"/>
        <w:jc w:val="both"/>
        <w:rPr>
          <w:rFonts w:ascii="Times New Roman" w:hAnsi="Times New Roman"/>
          <w:sz w:val="24"/>
          <w:szCs w:val="24"/>
          <w:shd w:val="clear" w:color="auto" w:fill="FFFFFF"/>
          <w:lang w:val="en-GB"/>
        </w:rPr>
      </w:pPr>
      <w:r w:rsidRPr="00813E2C">
        <w:rPr>
          <w:rFonts w:ascii="Times New Roman" w:hAnsi="Times New Roman"/>
          <w:sz w:val="24"/>
          <w:szCs w:val="24"/>
          <w:shd w:val="clear" w:color="auto" w:fill="FFFFFF"/>
          <w:lang w:val="en-GB"/>
        </w:rPr>
        <w:t xml:space="preserve">In other cases not included </w:t>
      </w:r>
      <w:r>
        <w:rPr>
          <w:rFonts w:ascii="Times New Roman" w:hAnsi="Times New Roman"/>
          <w:sz w:val="24"/>
          <w:szCs w:val="24"/>
          <w:shd w:val="clear" w:color="auto" w:fill="FFFFFF"/>
          <w:lang w:val="en-GB"/>
        </w:rPr>
        <w:t>in the Sample</w:t>
      </w:r>
      <w:r w:rsidRPr="00813E2C">
        <w:rPr>
          <w:rFonts w:ascii="Times New Roman" w:hAnsi="Times New Roman"/>
          <w:sz w:val="24"/>
          <w:szCs w:val="24"/>
          <w:shd w:val="clear" w:color="auto" w:fill="FFFFFF"/>
          <w:lang w:val="en-GB"/>
        </w:rPr>
        <w:t xml:space="preserve"> the same point was expressed even more clearly: </w:t>
      </w:r>
    </w:p>
    <w:p w:rsidR="005E6612" w:rsidRPr="007F10F8" w:rsidRDefault="005E6612" w:rsidP="007F10F8">
      <w:pPr>
        <w:spacing w:line="240" w:lineRule="auto"/>
        <w:ind w:left="708"/>
        <w:jc w:val="both"/>
        <w:rPr>
          <w:rFonts w:ascii="Times New Roman" w:hAnsi="Times New Roman"/>
          <w:sz w:val="20"/>
          <w:szCs w:val="20"/>
          <w:shd w:val="clear" w:color="auto" w:fill="FFFFFF"/>
          <w:lang w:val="en-GB"/>
        </w:rPr>
      </w:pPr>
      <w:r w:rsidRPr="007F10F8">
        <w:rPr>
          <w:rFonts w:ascii="Times New Roman" w:hAnsi="Times New Roman"/>
          <w:sz w:val="20"/>
          <w:szCs w:val="20"/>
          <w:shd w:val="clear" w:color="auto" w:fill="FFFFFF"/>
          <w:lang w:val="en-GB"/>
        </w:rPr>
        <w:t>although … [the issue of the case] is a very sensitive social issue in many Member States, marked by their multiple traditions and value systems, the Court is not called upon … to broach questions of a medical or ethical nature, but must restrict itself to a legal interpretation of the relevant provisions.</w:t>
      </w:r>
      <w:r w:rsidRPr="007F10F8">
        <w:rPr>
          <w:rStyle w:val="Rimandonotaapidipagina"/>
          <w:rFonts w:ascii="Times New Roman" w:hAnsi="Times New Roman"/>
          <w:sz w:val="20"/>
          <w:szCs w:val="20"/>
          <w:shd w:val="clear" w:color="auto" w:fill="FFFFFF"/>
          <w:lang w:val="en-GB"/>
        </w:rPr>
        <w:footnoteReference w:id="84"/>
      </w:r>
      <w:r w:rsidRPr="007F10F8">
        <w:rPr>
          <w:rFonts w:ascii="Times New Roman" w:hAnsi="Times New Roman"/>
          <w:sz w:val="20"/>
          <w:szCs w:val="20"/>
          <w:shd w:val="clear" w:color="auto" w:fill="FFFFFF"/>
          <w:lang w:val="en-GB"/>
        </w:rPr>
        <w:t xml:space="preserve"> </w:t>
      </w:r>
    </w:p>
    <w:p w:rsidR="005E6612" w:rsidRDefault="005E6612" w:rsidP="00B27D8E">
      <w:pPr>
        <w:spacing w:line="240" w:lineRule="auto"/>
        <w:jc w:val="both"/>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lastRenderedPageBreak/>
        <w:t>It is interesting to note</w:t>
      </w:r>
      <w:r w:rsidRPr="00813E2C">
        <w:rPr>
          <w:rFonts w:ascii="Times New Roman" w:hAnsi="Times New Roman"/>
          <w:sz w:val="24"/>
          <w:szCs w:val="24"/>
          <w:shd w:val="clear" w:color="auto" w:fill="FFFFFF"/>
          <w:lang w:val="en-GB"/>
        </w:rPr>
        <w:t xml:space="preserve"> that the Court insists on the </w:t>
      </w:r>
      <w:r w:rsidRPr="00813E2C">
        <w:rPr>
          <w:rFonts w:ascii="Times New Roman" w:hAnsi="Times New Roman"/>
          <w:i/>
          <w:iCs/>
          <w:sz w:val="24"/>
          <w:szCs w:val="24"/>
          <w:shd w:val="clear" w:color="auto" w:fill="FFFFFF"/>
          <w:lang w:val="en-GB"/>
        </w:rPr>
        <w:t xml:space="preserve">dura lex sed lex </w:t>
      </w:r>
      <w:r w:rsidRPr="00813E2C">
        <w:rPr>
          <w:rFonts w:ascii="Times New Roman" w:hAnsi="Times New Roman"/>
          <w:sz w:val="24"/>
          <w:szCs w:val="24"/>
          <w:shd w:val="clear" w:color="auto" w:fill="FFFFFF"/>
          <w:lang w:val="en-GB"/>
        </w:rPr>
        <w:t xml:space="preserve">principle </w:t>
      </w:r>
      <w:r>
        <w:rPr>
          <w:rFonts w:ascii="Times New Roman" w:hAnsi="Times New Roman"/>
          <w:sz w:val="24"/>
          <w:szCs w:val="24"/>
          <w:shd w:val="clear" w:color="auto" w:fill="FFFFFF"/>
          <w:lang w:val="en-GB"/>
        </w:rPr>
        <w:t xml:space="preserve">not only </w:t>
      </w:r>
      <w:r w:rsidRPr="00813E2C">
        <w:rPr>
          <w:rFonts w:ascii="Times New Roman" w:hAnsi="Times New Roman"/>
          <w:sz w:val="24"/>
          <w:szCs w:val="24"/>
          <w:shd w:val="clear" w:color="auto" w:fill="FFFFFF"/>
          <w:lang w:val="en-GB"/>
        </w:rPr>
        <w:t xml:space="preserve">when it wants to reject arguments based on </w:t>
      </w:r>
      <w:r>
        <w:rPr>
          <w:rFonts w:ascii="Times New Roman" w:hAnsi="Times New Roman"/>
          <w:sz w:val="24"/>
          <w:szCs w:val="24"/>
          <w:shd w:val="clear" w:color="auto" w:fill="FFFFFF"/>
          <w:lang w:val="en-GB"/>
        </w:rPr>
        <w:t>moral</w:t>
      </w:r>
      <w:r w:rsidRPr="00813E2C">
        <w:rPr>
          <w:rFonts w:ascii="Times New Roman" w:hAnsi="Times New Roman"/>
          <w:sz w:val="24"/>
          <w:szCs w:val="24"/>
          <w:shd w:val="clear" w:color="auto" w:fill="FFFFFF"/>
          <w:lang w:val="en-GB"/>
        </w:rPr>
        <w:t xml:space="preserve">, economic </w:t>
      </w:r>
      <w:r>
        <w:rPr>
          <w:rFonts w:ascii="Times New Roman" w:hAnsi="Times New Roman"/>
          <w:sz w:val="24"/>
          <w:szCs w:val="24"/>
          <w:shd w:val="clear" w:color="auto" w:fill="FFFFFF"/>
          <w:lang w:val="en-GB"/>
        </w:rPr>
        <w:t xml:space="preserve">or pragmatic considerations, but also </w:t>
      </w:r>
      <w:r w:rsidRPr="00813E2C">
        <w:rPr>
          <w:rFonts w:ascii="Times New Roman" w:hAnsi="Times New Roman"/>
          <w:sz w:val="24"/>
          <w:szCs w:val="24"/>
          <w:shd w:val="clear" w:color="auto" w:fill="FFFFFF"/>
          <w:lang w:val="en-GB"/>
        </w:rPr>
        <w:t xml:space="preserve">when it </w:t>
      </w:r>
      <w:r>
        <w:rPr>
          <w:rFonts w:ascii="Times New Roman" w:hAnsi="Times New Roman"/>
          <w:sz w:val="24"/>
          <w:szCs w:val="24"/>
          <w:shd w:val="clear" w:color="auto" w:fill="FFFFFF"/>
          <w:lang w:val="en-GB"/>
        </w:rPr>
        <w:t xml:space="preserve">actually </w:t>
      </w:r>
      <w:r w:rsidRPr="00813E2C">
        <w:rPr>
          <w:rFonts w:ascii="Times New Roman" w:hAnsi="Times New Roman"/>
          <w:sz w:val="24"/>
          <w:szCs w:val="24"/>
          <w:shd w:val="clear" w:color="auto" w:fill="FFFFFF"/>
          <w:lang w:val="en-GB"/>
        </w:rPr>
        <w:t xml:space="preserve">wants to accept such non-legal arguments by introducing an exception to </w:t>
      </w:r>
      <w:r>
        <w:rPr>
          <w:rFonts w:ascii="Times New Roman" w:hAnsi="Times New Roman"/>
          <w:sz w:val="24"/>
          <w:szCs w:val="24"/>
          <w:shd w:val="clear" w:color="auto" w:fill="FFFFFF"/>
          <w:lang w:val="en-GB"/>
        </w:rPr>
        <w:t xml:space="preserve">a legal rule, </w:t>
      </w:r>
      <w:r w:rsidRPr="00813E2C">
        <w:rPr>
          <w:rFonts w:ascii="Times New Roman" w:hAnsi="Times New Roman"/>
          <w:sz w:val="24"/>
          <w:szCs w:val="24"/>
          <w:shd w:val="clear" w:color="auto" w:fill="FFFFFF"/>
          <w:lang w:val="en-GB"/>
        </w:rPr>
        <w:t xml:space="preserve">such as </w:t>
      </w:r>
      <w:r>
        <w:rPr>
          <w:rFonts w:ascii="Times New Roman" w:hAnsi="Times New Roman"/>
          <w:sz w:val="24"/>
          <w:szCs w:val="24"/>
          <w:shd w:val="clear" w:color="auto" w:fill="FFFFFF"/>
          <w:lang w:val="en-GB"/>
        </w:rPr>
        <w:t xml:space="preserve">a </w:t>
      </w:r>
      <w:r w:rsidRPr="00813E2C">
        <w:rPr>
          <w:rFonts w:ascii="Times New Roman" w:hAnsi="Times New Roman"/>
          <w:sz w:val="24"/>
          <w:szCs w:val="24"/>
          <w:shd w:val="clear" w:color="auto" w:fill="FFFFFF"/>
          <w:lang w:val="en-GB"/>
        </w:rPr>
        <w:t xml:space="preserve">limitation of the temporal effect of its </w:t>
      </w:r>
      <w:r>
        <w:rPr>
          <w:rFonts w:ascii="Times New Roman" w:hAnsi="Times New Roman"/>
          <w:sz w:val="24"/>
          <w:szCs w:val="24"/>
          <w:shd w:val="clear" w:color="auto" w:fill="FFFFFF"/>
          <w:lang w:val="en-GB"/>
        </w:rPr>
        <w:t>ruling</w:t>
      </w:r>
      <w:r w:rsidRPr="00813E2C">
        <w:rPr>
          <w:rFonts w:ascii="Times New Roman" w:hAnsi="Times New Roman"/>
          <w:sz w:val="24"/>
          <w:szCs w:val="24"/>
          <w:shd w:val="clear" w:color="auto" w:fill="FFFFFF"/>
          <w:lang w:val="en-GB"/>
        </w:rPr>
        <w:t xml:space="preserve">. So, in </w:t>
      </w:r>
      <w:r w:rsidRPr="00813E2C">
        <w:rPr>
          <w:rFonts w:ascii="Times New Roman" w:hAnsi="Times New Roman"/>
          <w:i/>
          <w:iCs/>
          <w:sz w:val="24"/>
          <w:szCs w:val="24"/>
          <w:shd w:val="clear" w:color="auto" w:fill="FFFFFF"/>
          <w:lang w:val="en-GB"/>
        </w:rPr>
        <w:t>Defrenne</w:t>
      </w:r>
      <w:r w:rsidRPr="00813E2C">
        <w:rPr>
          <w:rFonts w:ascii="Times New Roman" w:hAnsi="Times New Roman"/>
          <w:sz w:val="24"/>
          <w:szCs w:val="24"/>
          <w:shd w:val="clear" w:color="auto" w:fill="FFFFFF"/>
          <w:lang w:val="en-GB"/>
        </w:rPr>
        <w:t xml:space="preserve">, in </w:t>
      </w:r>
      <w:r w:rsidRPr="00813E2C">
        <w:rPr>
          <w:rFonts w:ascii="Times New Roman" w:hAnsi="Times New Roman"/>
          <w:i/>
          <w:iCs/>
          <w:sz w:val="24"/>
          <w:szCs w:val="24"/>
          <w:shd w:val="clear" w:color="auto" w:fill="FFFFFF"/>
          <w:lang w:val="en-GB"/>
        </w:rPr>
        <w:t>Bosman</w:t>
      </w:r>
      <w:r w:rsidRPr="00813E2C">
        <w:rPr>
          <w:rFonts w:ascii="Times New Roman" w:hAnsi="Times New Roman"/>
          <w:sz w:val="24"/>
          <w:szCs w:val="24"/>
          <w:shd w:val="clear" w:color="auto" w:fill="FFFFFF"/>
          <w:lang w:val="en-GB"/>
        </w:rPr>
        <w:t xml:space="preserve"> as well as in </w:t>
      </w:r>
      <w:r w:rsidRPr="00813E2C">
        <w:rPr>
          <w:rFonts w:ascii="Times New Roman" w:hAnsi="Times New Roman"/>
          <w:i/>
          <w:iCs/>
          <w:sz w:val="24"/>
          <w:szCs w:val="24"/>
          <w:shd w:val="clear" w:color="auto" w:fill="FFFFFF"/>
          <w:lang w:val="en-GB"/>
        </w:rPr>
        <w:t xml:space="preserve">Barber </w:t>
      </w:r>
      <w:r w:rsidRPr="00813E2C">
        <w:rPr>
          <w:rFonts w:ascii="Times New Roman" w:hAnsi="Times New Roman"/>
          <w:sz w:val="24"/>
          <w:szCs w:val="24"/>
          <w:shd w:val="clear" w:color="auto" w:fill="FFFFFF"/>
          <w:lang w:val="en-GB"/>
        </w:rPr>
        <w:t xml:space="preserve">and in other cases the Court </w:t>
      </w:r>
      <w:r>
        <w:rPr>
          <w:rFonts w:ascii="Times New Roman" w:hAnsi="Times New Roman"/>
          <w:sz w:val="24"/>
          <w:szCs w:val="24"/>
          <w:shd w:val="clear" w:color="auto" w:fill="FFFFFF"/>
          <w:lang w:val="en-GB"/>
        </w:rPr>
        <w:t xml:space="preserve">adds to the </w:t>
      </w:r>
      <w:r w:rsidRPr="00813E2C">
        <w:rPr>
          <w:rFonts w:ascii="Times New Roman" w:hAnsi="Times New Roman"/>
          <w:sz w:val="24"/>
          <w:szCs w:val="24"/>
          <w:shd w:val="clear" w:color="auto" w:fill="FFFFFF"/>
          <w:lang w:val="en-GB"/>
        </w:rPr>
        <w:t xml:space="preserve"> </w:t>
      </w:r>
      <w:r w:rsidRPr="00813E2C">
        <w:rPr>
          <w:rFonts w:ascii="Times New Roman" w:hAnsi="Times New Roman"/>
          <w:i/>
          <w:iCs/>
          <w:sz w:val="24"/>
          <w:szCs w:val="24"/>
          <w:shd w:val="clear" w:color="auto" w:fill="FFFFFF"/>
          <w:lang w:val="en-GB"/>
        </w:rPr>
        <w:t xml:space="preserve">dura lex sed lex </w:t>
      </w:r>
      <w:r>
        <w:rPr>
          <w:rFonts w:ascii="Times New Roman" w:hAnsi="Times New Roman"/>
          <w:iCs/>
          <w:sz w:val="24"/>
          <w:szCs w:val="24"/>
          <w:shd w:val="clear" w:color="auto" w:fill="FFFFFF"/>
          <w:lang w:val="en-GB"/>
        </w:rPr>
        <w:t xml:space="preserve">formula </w:t>
      </w:r>
      <w:r w:rsidRPr="00813E2C">
        <w:rPr>
          <w:rFonts w:ascii="Times New Roman" w:hAnsi="Times New Roman"/>
          <w:sz w:val="24"/>
          <w:szCs w:val="24"/>
          <w:shd w:val="clear" w:color="auto" w:fill="FFFFFF"/>
          <w:lang w:val="en-GB"/>
        </w:rPr>
        <w:t xml:space="preserve">that it </w:t>
      </w:r>
    </w:p>
    <w:p w:rsidR="005E6612" w:rsidRPr="007F10F8" w:rsidRDefault="005E6612" w:rsidP="002C48A1">
      <w:pPr>
        <w:spacing w:line="240" w:lineRule="auto"/>
        <w:ind w:left="708"/>
        <w:jc w:val="both"/>
        <w:rPr>
          <w:rFonts w:ascii="Times New Roman" w:hAnsi="Times New Roman"/>
          <w:iCs/>
          <w:sz w:val="20"/>
          <w:szCs w:val="20"/>
          <w:shd w:val="clear" w:color="auto" w:fill="FFFFFF"/>
          <w:lang w:val="en-GB"/>
        </w:rPr>
      </w:pPr>
      <w:r w:rsidRPr="007F10F8">
        <w:rPr>
          <w:rFonts w:ascii="Times New Roman" w:hAnsi="Times New Roman"/>
          <w:iCs/>
          <w:sz w:val="20"/>
          <w:szCs w:val="20"/>
          <w:shd w:val="clear" w:color="auto" w:fill="FFFFFF"/>
          <w:lang w:val="en-GB"/>
        </w:rPr>
        <w:t>may, by way of exception, taking account of the serious difficulties which its judgment may create as regards events in the past, be moved to restrict the possibility for all persons concerned of relying on the interpretation which the Court, in proceedings on a reference to it for a preliminary ruling, gives to a provision.</w:t>
      </w:r>
      <w:r w:rsidRPr="007F10F8">
        <w:rPr>
          <w:rFonts w:ascii="Times New Roman" w:hAnsi="Times New Roman"/>
          <w:iCs/>
          <w:sz w:val="20"/>
          <w:szCs w:val="20"/>
          <w:shd w:val="clear" w:color="auto" w:fill="FFFFFF"/>
          <w:vertAlign w:val="superscript"/>
          <w:lang w:val="en-GB"/>
        </w:rPr>
        <w:footnoteReference w:id="85"/>
      </w:r>
      <w:r w:rsidRPr="007F10F8">
        <w:rPr>
          <w:rFonts w:ascii="Times New Roman" w:hAnsi="Times New Roman"/>
          <w:iCs/>
          <w:sz w:val="20"/>
          <w:szCs w:val="20"/>
          <w:shd w:val="clear" w:color="auto" w:fill="FFFFFF"/>
          <w:lang w:val="en-GB"/>
        </w:rPr>
        <w:t xml:space="preserve"> </w:t>
      </w:r>
    </w:p>
    <w:p w:rsidR="005E6612" w:rsidRDefault="005E6612" w:rsidP="00B27D8E">
      <w:pPr>
        <w:spacing w:line="240" w:lineRule="auto"/>
        <w:jc w:val="both"/>
        <w:rPr>
          <w:rFonts w:ascii="Times New Roman" w:hAnsi="Times New Roman"/>
          <w:iCs/>
          <w:sz w:val="24"/>
          <w:szCs w:val="24"/>
          <w:shd w:val="clear" w:color="auto" w:fill="FFFFFF"/>
          <w:lang w:val="en-GB"/>
        </w:rPr>
      </w:pPr>
      <w:r w:rsidRPr="00813E2C">
        <w:rPr>
          <w:rFonts w:ascii="Times New Roman" w:hAnsi="Times New Roman"/>
          <w:iCs/>
          <w:sz w:val="24"/>
          <w:szCs w:val="24"/>
          <w:shd w:val="clear" w:color="auto" w:fill="FFFFFF"/>
          <w:lang w:val="en-GB"/>
        </w:rPr>
        <w:t>In this kind of case</w:t>
      </w:r>
      <w:r>
        <w:rPr>
          <w:rFonts w:ascii="Times New Roman" w:hAnsi="Times New Roman"/>
          <w:iCs/>
          <w:sz w:val="24"/>
          <w:szCs w:val="24"/>
          <w:shd w:val="clear" w:color="auto" w:fill="FFFFFF"/>
          <w:lang w:val="en-GB"/>
        </w:rPr>
        <w:t>s</w:t>
      </w:r>
      <w:r w:rsidRPr="00813E2C">
        <w:rPr>
          <w:rFonts w:ascii="Times New Roman" w:hAnsi="Times New Roman"/>
          <w:iCs/>
          <w:sz w:val="24"/>
          <w:szCs w:val="24"/>
          <w:shd w:val="clear" w:color="auto" w:fill="FFFFFF"/>
          <w:lang w:val="en-GB"/>
        </w:rPr>
        <w:t xml:space="preserve">, when the Court limits the temporal effects of its decisions on account of the practical consequences that they would </w:t>
      </w:r>
      <w:r>
        <w:rPr>
          <w:rFonts w:ascii="Times New Roman" w:hAnsi="Times New Roman"/>
          <w:iCs/>
          <w:sz w:val="24"/>
          <w:szCs w:val="24"/>
          <w:shd w:val="clear" w:color="auto" w:fill="FFFFFF"/>
          <w:lang w:val="en-GB"/>
        </w:rPr>
        <w:t>have</w:t>
      </w:r>
      <w:r w:rsidRPr="00813E2C">
        <w:rPr>
          <w:rFonts w:ascii="Times New Roman" w:hAnsi="Times New Roman"/>
          <w:iCs/>
          <w:sz w:val="24"/>
          <w:szCs w:val="24"/>
          <w:shd w:val="clear" w:color="auto" w:fill="FFFFFF"/>
          <w:lang w:val="en-GB"/>
        </w:rPr>
        <w:t xml:space="preserve">, it </w:t>
      </w:r>
      <w:r>
        <w:rPr>
          <w:rFonts w:ascii="Times New Roman" w:hAnsi="Times New Roman"/>
          <w:iCs/>
          <w:sz w:val="24"/>
          <w:szCs w:val="24"/>
          <w:shd w:val="clear" w:color="auto" w:fill="FFFFFF"/>
          <w:lang w:val="en-GB"/>
        </w:rPr>
        <w:t xml:space="preserve">might </w:t>
      </w:r>
      <w:r w:rsidRPr="00813E2C">
        <w:rPr>
          <w:rFonts w:ascii="Times New Roman" w:hAnsi="Times New Roman"/>
          <w:iCs/>
          <w:sz w:val="24"/>
          <w:szCs w:val="24"/>
          <w:shd w:val="clear" w:color="auto" w:fill="FFFFFF"/>
          <w:lang w:val="en-GB"/>
        </w:rPr>
        <w:t>be argued that it is having recourse to explicit moral (that is, non-legal) reasoning</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vertAlign w:val="superscript"/>
          <w:lang w:val="en-GB"/>
        </w:rPr>
        <w:footnoteReference w:id="86"/>
      </w:r>
      <w:r w:rsidRPr="00813E2C">
        <w:rPr>
          <w:rFonts w:ascii="Times New Roman" w:hAnsi="Times New Roman"/>
          <w:iCs/>
          <w:sz w:val="24"/>
          <w:szCs w:val="24"/>
          <w:shd w:val="clear" w:color="auto" w:fill="FFFFFF"/>
          <w:lang w:val="en-GB"/>
        </w:rPr>
        <w:t xml:space="preserve"> However, the Court always mentions the principle of legal certainty – which is by all means a legal principle – as the determining ground of that limitation: </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lang w:val="en-GB"/>
        </w:rPr>
        <w:t>important considerations of legal certainty affec</w:t>
      </w:r>
      <w:r>
        <w:rPr>
          <w:rFonts w:ascii="Times New Roman" w:hAnsi="Times New Roman"/>
          <w:iCs/>
          <w:sz w:val="24"/>
          <w:szCs w:val="24"/>
          <w:shd w:val="clear" w:color="auto" w:fill="FFFFFF"/>
          <w:lang w:val="en-GB"/>
        </w:rPr>
        <w:t>ting all the interests involved</w:t>
      </w:r>
      <w:r w:rsidRPr="00813E2C">
        <w:rPr>
          <w:rFonts w:ascii="Times New Roman" w:hAnsi="Times New Roman"/>
          <w:iCs/>
          <w:sz w:val="24"/>
          <w:szCs w:val="24"/>
          <w:shd w:val="clear" w:color="auto" w:fill="FFFFFF"/>
          <w:lang w:val="en-GB"/>
        </w:rPr>
        <w:t>, both public and private, make it impossible in principle to reopen the question as regards the past</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vertAlign w:val="superscript"/>
          <w:lang w:val="en-GB"/>
        </w:rPr>
        <w:footnoteReference w:id="87"/>
      </w:r>
      <w:r w:rsidRPr="00813E2C">
        <w:rPr>
          <w:rFonts w:ascii="Times New Roman" w:hAnsi="Times New Roman"/>
          <w:iCs/>
          <w:sz w:val="24"/>
          <w:szCs w:val="24"/>
          <w:shd w:val="clear" w:color="auto" w:fill="FFFFFF"/>
          <w:lang w:val="en-GB"/>
        </w:rPr>
        <w:t xml:space="preserve"> </w:t>
      </w:r>
    </w:p>
    <w:p w:rsidR="005E6612" w:rsidRPr="00813E2C" w:rsidRDefault="005E6612" w:rsidP="003560E5">
      <w:pPr>
        <w:spacing w:line="240" w:lineRule="auto"/>
        <w:jc w:val="both"/>
        <w:rPr>
          <w:rFonts w:ascii="Times New Roman" w:hAnsi="Times New Roman"/>
          <w:iCs/>
          <w:sz w:val="24"/>
          <w:szCs w:val="24"/>
          <w:shd w:val="clear" w:color="auto" w:fill="FFFFFF"/>
          <w:lang w:val="en-GB"/>
        </w:rPr>
      </w:pPr>
      <w:r w:rsidRPr="00813E2C">
        <w:rPr>
          <w:rFonts w:ascii="Times New Roman" w:hAnsi="Times New Roman"/>
          <w:iCs/>
          <w:sz w:val="24"/>
          <w:szCs w:val="24"/>
          <w:shd w:val="clear" w:color="auto" w:fill="FFFFFF"/>
          <w:lang w:val="en-GB"/>
        </w:rPr>
        <w:t xml:space="preserve">Thus, it is debatable whether at present the legal reasoning practised by the Court leaves any room for arguments that are explicitly non-legal in nature. </w:t>
      </w:r>
    </w:p>
    <w:p w:rsidR="005E6612" w:rsidRDefault="005E6612" w:rsidP="003560E5">
      <w:pPr>
        <w:spacing w:line="240" w:lineRule="auto"/>
        <w:jc w:val="both"/>
        <w:rPr>
          <w:rFonts w:ascii="Times New Roman" w:hAnsi="Times New Roman"/>
          <w:iCs/>
          <w:sz w:val="24"/>
          <w:szCs w:val="24"/>
          <w:shd w:val="clear" w:color="auto" w:fill="FFFFFF"/>
          <w:lang w:val="en-GB"/>
        </w:rPr>
      </w:pPr>
      <w:r w:rsidRPr="00813E2C">
        <w:rPr>
          <w:rFonts w:ascii="Times New Roman" w:hAnsi="Times New Roman"/>
          <w:sz w:val="24"/>
          <w:szCs w:val="24"/>
          <w:shd w:val="clear" w:color="auto" w:fill="FFFFFF"/>
          <w:lang w:val="en-GB"/>
        </w:rPr>
        <w:t xml:space="preserve">It can be particularly difficult to distinguish non-legal arguments from arguments based on implicit principles, that is, principles not mentioned in the text of the Treaty but constructed by the legal doctrine and the case law. For instance, in </w:t>
      </w:r>
      <w:r w:rsidRPr="00813E2C">
        <w:rPr>
          <w:rFonts w:ascii="Times New Roman" w:hAnsi="Times New Roman"/>
          <w:i/>
          <w:iCs/>
          <w:sz w:val="24"/>
          <w:szCs w:val="24"/>
          <w:shd w:val="clear" w:color="auto" w:fill="FFFFFF"/>
          <w:lang w:val="en-GB"/>
        </w:rPr>
        <w:t>Faccini Dori</w:t>
      </w:r>
      <w:r w:rsidRPr="00813E2C">
        <w:rPr>
          <w:rFonts w:ascii="Times New Roman" w:hAnsi="Times New Roman"/>
          <w:sz w:val="24"/>
          <w:szCs w:val="24"/>
          <w:shd w:val="clear" w:color="auto" w:fill="FFFFFF"/>
          <w:lang w:val="en-GB"/>
        </w:rPr>
        <w:t xml:space="preserve"> the Court held that </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 xml:space="preserve">it would </w:t>
      </w:r>
      <w:r w:rsidRPr="00813E2C">
        <w:rPr>
          <w:rFonts w:ascii="Times New Roman" w:hAnsi="Times New Roman"/>
          <w:iCs/>
          <w:sz w:val="24"/>
          <w:szCs w:val="24"/>
          <w:shd w:val="clear" w:color="auto" w:fill="FFFFFF"/>
          <w:lang w:val="en-GB"/>
        </w:rPr>
        <w:t>be unacceptable if a State, when required by the Community legislature to adopt certain rules … were able to rely on its own failure to discharge its obligations so as to deprive individuals of the benefits of those rights</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vertAlign w:val="superscript"/>
          <w:lang w:val="en-GB"/>
        </w:rPr>
        <w:footnoteReference w:id="88"/>
      </w:r>
      <w:r w:rsidRPr="00813E2C">
        <w:rPr>
          <w:rFonts w:ascii="Times New Roman" w:hAnsi="Times New Roman"/>
          <w:sz w:val="24"/>
          <w:szCs w:val="24"/>
          <w:shd w:val="clear" w:color="auto" w:fill="FFFFFF"/>
          <w:lang w:val="en-GB"/>
        </w:rPr>
        <w:t xml:space="preserve"> If that sentence were interpreted as stating that it is </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morally</w:t>
      </w:r>
      <w:r>
        <w:rPr>
          <w:rFonts w:ascii="Times New Roman" w:hAnsi="Times New Roman"/>
          <w:sz w:val="24"/>
          <w:szCs w:val="24"/>
          <w:shd w:val="clear" w:color="auto" w:fill="FFFFFF"/>
          <w:lang w:val="en-GB"/>
        </w:rPr>
        <w:t>’</w:t>
      </w:r>
      <w:r w:rsidRPr="00813E2C">
        <w:rPr>
          <w:rFonts w:ascii="Times New Roman" w:hAnsi="Times New Roman"/>
          <w:sz w:val="24"/>
          <w:szCs w:val="24"/>
          <w:shd w:val="clear" w:color="auto" w:fill="FFFFFF"/>
          <w:lang w:val="en-GB"/>
        </w:rPr>
        <w:t xml:space="preserve"> </w:t>
      </w:r>
      <w:r w:rsidRPr="00813E2C">
        <w:rPr>
          <w:rFonts w:ascii="Times New Roman" w:hAnsi="Times New Roman"/>
          <w:iCs/>
          <w:sz w:val="24"/>
          <w:szCs w:val="24"/>
          <w:shd w:val="clear" w:color="auto" w:fill="FFFFFF"/>
          <w:lang w:val="en-GB"/>
        </w:rPr>
        <w:t>unacceptable, th</w:t>
      </w:r>
      <w:r>
        <w:rPr>
          <w:rFonts w:ascii="Times New Roman" w:hAnsi="Times New Roman"/>
          <w:iCs/>
          <w:sz w:val="24"/>
          <w:szCs w:val="24"/>
          <w:shd w:val="clear" w:color="auto" w:fill="FFFFFF"/>
          <w:lang w:val="en-GB"/>
        </w:rPr>
        <w:t>e</w:t>
      </w:r>
      <w:r w:rsidRPr="00813E2C">
        <w:rPr>
          <w:rFonts w:ascii="Times New Roman" w:hAnsi="Times New Roman"/>
          <w:iCs/>
          <w:sz w:val="24"/>
          <w:szCs w:val="24"/>
          <w:shd w:val="clear" w:color="auto" w:fill="FFFFFF"/>
          <w:lang w:val="en-GB"/>
        </w:rPr>
        <w:t xml:space="preserve">n the sentence would be a case of a non-legal argument; if it were interpreted as stating that it is </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lang w:val="en-GB"/>
        </w:rPr>
        <w:t>legally</w:t>
      </w:r>
      <w:r>
        <w:rPr>
          <w:rFonts w:ascii="Times New Roman" w:hAnsi="Times New Roman"/>
          <w:iCs/>
          <w:sz w:val="24"/>
          <w:szCs w:val="24"/>
          <w:shd w:val="clear" w:color="auto" w:fill="FFFFFF"/>
          <w:lang w:val="en-GB"/>
        </w:rPr>
        <w:t>’</w:t>
      </w:r>
      <w:r w:rsidRPr="00813E2C">
        <w:rPr>
          <w:rFonts w:ascii="Times New Roman" w:hAnsi="Times New Roman"/>
          <w:iCs/>
          <w:sz w:val="24"/>
          <w:szCs w:val="24"/>
          <w:shd w:val="clear" w:color="auto" w:fill="FFFFFF"/>
          <w:lang w:val="en-GB"/>
        </w:rPr>
        <w:t xml:space="preserve"> </w:t>
      </w:r>
      <w:r>
        <w:rPr>
          <w:rFonts w:ascii="Times New Roman" w:hAnsi="Times New Roman"/>
          <w:iCs/>
          <w:sz w:val="24"/>
          <w:szCs w:val="24"/>
          <w:shd w:val="clear" w:color="auto" w:fill="FFFFFF"/>
          <w:lang w:val="en-GB"/>
        </w:rPr>
        <w:t>u</w:t>
      </w:r>
      <w:r w:rsidRPr="00813E2C">
        <w:rPr>
          <w:rFonts w:ascii="Times New Roman" w:hAnsi="Times New Roman"/>
          <w:iCs/>
          <w:sz w:val="24"/>
          <w:szCs w:val="24"/>
          <w:shd w:val="clear" w:color="auto" w:fill="FFFFFF"/>
          <w:lang w:val="en-GB"/>
        </w:rPr>
        <w:t>nacceptable, then the Court would be rel</w:t>
      </w:r>
      <w:r>
        <w:rPr>
          <w:rFonts w:ascii="Times New Roman" w:hAnsi="Times New Roman"/>
          <w:iCs/>
          <w:sz w:val="24"/>
          <w:szCs w:val="24"/>
          <w:shd w:val="clear" w:color="auto" w:fill="FFFFFF"/>
          <w:lang w:val="en-GB"/>
        </w:rPr>
        <w:t xml:space="preserve">ying upon an implicit principle, </w:t>
      </w:r>
      <w:r w:rsidRPr="00813E2C">
        <w:rPr>
          <w:rFonts w:ascii="Times New Roman" w:hAnsi="Times New Roman"/>
          <w:iCs/>
          <w:sz w:val="24"/>
          <w:szCs w:val="24"/>
          <w:shd w:val="clear" w:color="auto" w:fill="FFFFFF"/>
          <w:lang w:val="en-GB"/>
        </w:rPr>
        <w:t xml:space="preserve">a sort of implicit doctrine </w:t>
      </w:r>
      <w:r w:rsidRPr="003560E5">
        <w:rPr>
          <w:rFonts w:ascii="Times New Roman" w:hAnsi="Times New Roman"/>
          <w:iCs/>
          <w:sz w:val="24"/>
          <w:szCs w:val="24"/>
          <w:shd w:val="clear" w:color="auto" w:fill="FFFFFF"/>
          <w:lang w:val="en-GB"/>
        </w:rPr>
        <w:t>of estoppel that would prevent</w:t>
      </w:r>
      <w:r w:rsidRPr="00813E2C">
        <w:rPr>
          <w:rFonts w:ascii="Times New Roman" w:hAnsi="Times New Roman"/>
          <w:iCs/>
          <w:sz w:val="24"/>
          <w:szCs w:val="24"/>
          <w:shd w:val="clear" w:color="auto" w:fill="FFFFFF"/>
          <w:lang w:val="en-GB"/>
        </w:rPr>
        <w:t xml:space="preserve"> the Member States from benefiting </w:t>
      </w:r>
      <w:r>
        <w:rPr>
          <w:rFonts w:ascii="Times New Roman" w:hAnsi="Times New Roman"/>
          <w:iCs/>
          <w:sz w:val="24"/>
          <w:szCs w:val="24"/>
          <w:shd w:val="clear" w:color="auto" w:fill="FFFFFF"/>
          <w:lang w:val="en-GB"/>
        </w:rPr>
        <w:t>from</w:t>
      </w:r>
      <w:r w:rsidRPr="00813E2C">
        <w:rPr>
          <w:rFonts w:ascii="Times New Roman" w:hAnsi="Times New Roman"/>
          <w:iCs/>
          <w:sz w:val="24"/>
          <w:szCs w:val="24"/>
          <w:shd w:val="clear" w:color="auto" w:fill="FFFFFF"/>
          <w:lang w:val="en-GB"/>
        </w:rPr>
        <w:t xml:space="preserve"> their own breach of Community law. </w:t>
      </w:r>
    </w:p>
    <w:p w:rsidR="005E6612" w:rsidRDefault="005E6612" w:rsidP="003560E5">
      <w:pPr>
        <w:spacing w:line="240" w:lineRule="auto"/>
        <w:jc w:val="both"/>
        <w:rPr>
          <w:rFonts w:ascii="Times New Roman" w:hAnsi="Times New Roman"/>
          <w:iCs/>
          <w:sz w:val="24"/>
          <w:szCs w:val="24"/>
          <w:shd w:val="clear" w:color="auto" w:fill="FFFFFF"/>
          <w:lang w:val="en-GB"/>
        </w:rPr>
      </w:pPr>
      <w:r w:rsidRPr="00813E2C">
        <w:rPr>
          <w:rFonts w:ascii="Times New Roman" w:hAnsi="Times New Roman"/>
          <w:iCs/>
          <w:sz w:val="24"/>
          <w:szCs w:val="24"/>
          <w:shd w:val="clear" w:color="auto" w:fill="FFFFFF"/>
          <w:lang w:val="en-GB"/>
        </w:rPr>
        <w:t>Both interpretations are plausible, and the distinction between non-legal arguments and implicit principles seems thus to rely not on certain distinctive structural features of the reasons provided for by the Court but on the interpretation of the legal materials that we are ready to accept: the distinction between what is implicit in the law and what is external to the law is a matter of (normative) interpretation and thus cannot simply be observed as if it were a matter of fact.</w:t>
      </w:r>
    </w:p>
    <w:p w:rsidR="005E6612" w:rsidRPr="00813E2C" w:rsidRDefault="005E6612" w:rsidP="00B27D8E">
      <w:pPr>
        <w:spacing w:line="240" w:lineRule="auto"/>
        <w:jc w:val="both"/>
        <w:rPr>
          <w:rFonts w:ascii="Times New Roman" w:hAnsi="Times New Roman"/>
          <w:i/>
          <w:sz w:val="24"/>
          <w:szCs w:val="24"/>
          <w:shd w:val="clear" w:color="auto" w:fill="FFFFFF"/>
          <w:lang w:val="en-GB"/>
        </w:rPr>
      </w:pPr>
      <w:r w:rsidRPr="00813E2C">
        <w:rPr>
          <w:rFonts w:ascii="Times New Roman" w:hAnsi="Times New Roman"/>
          <w:iCs/>
          <w:sz w:val="24"/>
          <w:szCs w:val="24"/>
          <w:shd w:val="clear" w:color="auto" w:fill="FFFFFF"/>
          <w:lang w:val="en-GB"/>
        </w:rPr>
        <w:t xml:space="preserve">15. </w:t>
      </w:r>
      <w:r w:rsidRPr="00813E2C">
        <w:rPr>
          <w:rFonts w:ascii="Times New Roman" w:hAnsi="Times New Roman"/>
          <w:i/>
          <w:sz w:val="24"/>
          <w:szCs w:val="24"/>
          <w:shd w:val="clear" w:color="auto" w:fill="FFFFFF"/>
          <w:lang w:val="en-GB"/>
        </w:rPr>
        <w:t>References to scholarly works</w:t>
      </w:r>
    </w:p>
    <w:p w:rsidR="005E6612" w:rsidRDefault="005E6612" w:rsidP="00B27D8E">
      <w:pPr>
        <w:spacing w:line="240" w:lineRule="auto"/>
        <w:jc w:val="both"/>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 xml:space="preserve">While references to </w:t>
      </w:r>
      <w:r w:rsidRPr="00813E2C">
        <w:rPr>
          <w:rFonts w:ascii="Times New Roman" w:hAnsi="Times New Roman"/>
          <w:sz w:val="24"/>
          <w:szCs w:val="24"/>
          <w:shd w:val="clear" w:color="auto" w:fill="FFFFFF"/>
          <w:lang w:val="en-GB"/>
        </w:rPr>
        <w:t>scholarly works</w:t>
      </w:r>
      <w:r>
        <w:rPr>
          <w:rFonts w:ascii="Times New Roman" w:hAnsi="Times New Roman"/>
          <w:sz w:val="24"/>
          <w:szCs w:val="24"/>
          <w:shd w:val="clear" w:color="auto" w:fill="FFFFFF"/>
          <w:lang w:val="en-GB"/>
        </w:rPr>
        <w:t xml:space="preserve"> are quite common in the opinions of the Advocates General, they are absent from the rulings of the </w:t>
      </w:r>
      <w:r w:rsidRPr="003D634E">
        <w:rPr>
          <w:rFonts w:ascii="Times New Roman" w:hAnsi="Times New Roman"/>
          <w:sz w:val="24"/>
          <w:szCs w:val="24"/>
          <w:shd w:val="clear" w:color="auto" w:fill="FFFFFF"/>
          <w:lang w:val="en-GB"/>
        </w:rPr>
        <w:t>Court</w:t>
      </w:r>
      <w:r w:rsidRPr="00813E2C">
        <w:rPr>
          <w:rFonts w:ascii="Times New Roman" w:hAnsi="Times New Roman"/>
          <w:sz w:val="24"/>
          <w:szCs w:val="24"/>
          <w:shd w:val="clear" w:color="auto" w:fill="FFFFFF"/>
          <w:lang w:val="en-GB"/>
        </w:rPr>
        <w:t xml:space="preserve">. </w:t>
      </w:r>
    </w:p>
    <w:p w:rsidR="005E6612" w:rsidRPr="00813E2C" w:rsidRDefault="005E6612" w:rsidP="00B27D8E">
      <w:pPr>
        <w:spacing w:line="240" w:lineRule="auto"/>
        <w:jc w:val="both"/>
        <w:rPr>
          <w:rFonts w:ascii="Times New Roman" w:hAnsi="Times New Roman"/>
          <w:i/>
          <w:iCs/>
          <w:sz w:val="24"/>
          <w:szCs w:val="24"/>
          <w:shd w:val="clear" w:color="auto" w:fill="FFFFFF"/>
          <w:lang w:val="en-GB"/>
        </w:rPr>
      </w:pPr>
      <w:r w:rsidRPr="00813E2C">
        <w:rPr>
          <w:rFonts w:ascii="Times New Roman" w:hAnsi="Times New Roman"/>
          <w:sz w:val="24"/>
          <w:szCs w:val="24"/>
          <w:shd w:val="clear" w:color="auto" w:fill="FFFFFF"/>
          <w:lang w:val="en-GB"/>
        </w:rPr>
        <w:t xml:space="preserve">16. </w:t>
      </w:r>
      <w:r w:rsidRPr="00813E2C">
        <w:rPr>
          <w:rFonts w:ascii="Times New Roman" w:hAnsi="Times New Roman"/>
          <w:i/>
          <w:iCs/>
          <w:sz w:val="24"/>
          <w:szCs w:val="24"/>
          <w:shd w:val="clear" w:color="auto" w:fill="FFFFFF"/>
          <w:lang w:val="en-GB"/>
        </w:rPr>
        <w:t>References to foreign law</w:t>
      </w:r>
    </w:p>
    <w:p w:rsidR="005E6612" w:rsidRPr="00813E2C" w:rsidRDefault="005E6612" w:rsidP="00B27D8E">
      <w:pPr>
        <w:spacing w:line="240" w:lineRule="auto"/>
        <w:jc w:val="both"/>
        <w:rPr>
          <w:rFonts w:ascii="Times New Roman" w:hAnsi="Times New Roman"/>
          <w:bCs/>
          <w:iCs/>
          <w:sz w:val="24"/>
          <w:szCs w:val="24"/>
          <w:shd w:val="clear" w:color="auto" w:fill="FFFFFF"/>
          <w:lang w:val="en-GB"/>
        </w:rPr>
      </w:pPr>
      <w:r w:rsidRPr="00813E2C">
        <w:rPr>
          <w:rFonts w:ascii="Times New Roman" w:hAnsi="Times New Roman"/>
          <w:sz w:val="24"/>
          <w:szCs w:val="24"/>
          <w:shd w:val="clear" w:color="auto" w:fill="FFFFFF"/>
          <w:lang w:val="en-GB"/>
        </w:rPr>
        <w:t>We found 13 references to foreign law</w:t>
      </w:r>
      <w:r>
        <w:rPr>
          <w:rFonts w:ascii="Times New Roman" w:hAnsi="Times New Roman"/>
          <w:sz w:val="24"/>
          <w:szCs w:val="24"/>
          <w:shd w:val="clear" w:color="auto" w:fill="FFFFFF"/>
          <w:lang w:val="en-GB"/>
        </w:rPr>
        <w:t xml:space="preserve">, that is, to the </w:t>
      </w:r>
      <w:r w:rsidRPr="00813E2C">
        <w:rPr>
          <w:rFonts w:ascii="Times New Roman" w:hAnsi="Times New Roman"/>
          <w:sz w:val="24"/>
          <w:szCs w:val="24"/>
          <w:shd w:val="clear" w:color="auto" w:fill="FFFFFF"/>
          <w:lang w:val="en-GB"/>
        </w:rPr>
        <w:t xml:space="preserve">law of the Member States. The vast majority of the references were ornamental and mechanical quotes from the </w:t>
      </w:r>
      <w:r w:rsidRPr="00813E2C">
        <w:rPr>
          <w:rFonts w:ascii="Times New Roman" w:hAnsi="Times New Roman"/>
          <w:bCs/>
          <w:i/>
          <w:sz w:val="24"/>
          <w:szCs w:val="24"/>
          <w:shd w:val="clear" w:color="auto" w:fill="FFFFFF"/>
          <w:lang w:val="en-GB"/>
        </w:rPr>
        <w:t xml:space="preserve">Internationale Handelsgesellschaft </w:t>
      </w:r>
      <w:r w:rsidRPr="00813E2C">
        <w:rPr>
          <w:rFonts w:ascii="Times New Roman" w:hAnsi="Times New Roman"/>
          <w:bCs/>
          <w:sz w:val="24"/>
          <w:szCs w:val="24"/>
          <w:shd w:val="clear" w:color="auto" w:fill="FFFFFF"/>
          <w:lang w:val="en-GB"/>
        </w:rPr>
        <w:t xml:space="preserve">formula: the protection of fundamental rights by the </w:t>
      </w:r>
      <w:r w:rsidRPr="003D634E">
        <w:rPr>
          <w:rFonts w:ascii="Times New Roman" w:hAnsi="Times New Roman"/>
          <w:bCs/>
          <w:sz w:val="24"/>
          <w:szCs w:val="24"/>
          <w:shd w:val="clear" w:color="auto" w:fill="FFFFFF"/>
          <w:lang w:val="en-GB"/>
        </w:rPr>
        <w:t>Court of Justice</w:t>
      </w:r>
      <w:r w:rsidRPr="00813E2C">
        <w:rPr>
          <w:rFonts w:ascii="Times New Roman" w:hAnsi="Times New Roman"/>
          <w:bCs/>
          <w:sz w:val="24"/>
          <w:szCs w:val="24"/>
          <w:shd w:val="clear" w:color="auto" w:fill="FFFFFF"/>
          <w:lang w:val="en-GB"/>
        </w:rPr>
        <w:t xml:space="preserve"> is </w:t>
      </w:r>
      <w:r>
        <w:rPr>
          <w:rFonts w:ascii="Times New Roman" w:hAnsi="Times New Roman"/>
          <w:bCs/>
          <w:sz w:val="24"/>
          <w:szCs w:val="24"/>
          <w:shd w:val="clear" w:color="auto" w:fill="FFFFFF"/>
          <w:lang w:val="en-GB"/>
        </w:rPr>
        <w:lastRenderedPageBreak/>
        <w:t>‘</w:t>
      </w:r>
      <w:r w:rsidRPr="00813E2C">
        <w:rPr>
          <w:rFonts w:ascii="Times New Roman" w:hAnsi="Times New Roman"/>
          <w:bCs/>
          <w:sz w:val="24"/>
          <w:szCs w:val="24"/>
          <w:shd w:val="clear" w:color="auto" w:fill="FFFFFF"/>
          <w:lang w:val="en-GB"/>
        </w:rPr>
        <w:t>inspired by the constitutional traditions common to the Member States</w:t>
      </w:r>
      <w:r>
        <w:rPr>
          <w:rFonts w:ascii="Times New Roman" w:hAnsi="Times New Roman"/>
          <w:bCs/>
          <w:sz w:val="24"/>
          <w:szCs w:val="24"/>
          <w:shd w:val="clear" w:color="auto" w:fill="FFFFFF"/>
          <w:lang w:val="en-GB"/>
        </w:rPr>
        <w:t>’.</w:t>
      </w:r>
      <w:r w:rsidRPr="00813E2C">
        <w:rPr>
          <w:rStyle w:val="Rimandonotaapidipagina"/>
          <w:rFonts w:ascii="Times New Roman" w:hAnsi="Times New Roman"/>
          <w:bCs/>
          <w:sz w:val="24"/>
          <w:szCs w:val="24"/>
          <w:shd w:val="clear" w:color="auto" w:fill="FFFFFF"/>
          <w:lang w:val="en-GB"/>
        </w:rPr>
        <w:footnoteReference w:id="89"/>
      </w:r>
      <w:r w:rsidRPr="00813E2C">
        <w:rPr>
          <w:rFonts w:ascii="Times New Roman" w:hAnsi="Times New Roman"/>
          <w:bCs/>
          <w:sz w:val="24"/>
          <w:szCs w:val="24"/>
          <w:shd w:val="clear" w:color="auto" w:fill="FFFFFF"/>
          <w:lang w:val="en-GB"/>
        </w:rPr>
        <w:t xml:space="preserve"> </w:t>
      </w:r>
      <w:r>
        <w:rPr>
          <w:rFonts w:ascii="Times New Roman" w:hAnsi="Times New Roman"/>
          <w:bCs/>
          <w:sz w:val="24"/>
          <w:szCs w:val="24"/>
          <w:shd w:val="clear" w:color="auto" w:fill="FFFFFF"/>
          <w:lang w:val="en-GB"/>
        </w:rPr>
        <w:t>T</w:t>
      </w:r>
      <w:r w:rsidRPr="00813E2C">
        <w:rPr>
          <w:rFonts w:ascii="Times New Roman" w:hAnsi="Times New Roman"/>
          <w:bCs/>
          <w:sz w:val="24"/>
          <w:szCs w:val="24"/>
          <w:shd w:val="clear" w:color="auto" w:fill="FFFFFF"/>
          <w:lang w:val="en-GB"/>
        </w:rPr>
        <w:t xml:space="preserve">hanks to the bridge provided by the </w:t>
      </w:r>
      <w:r>
        <w:rPr>
          <w:rFonts w:ascii="Times New Roman" w:hAnsi="Times New Roman"/>
          <w:bCs/>
          <w:sz w:val="24"/>
          <w:szCs w:val="24"/>
          <w:shd w:val="clear" w:color="auto" w:fill="FFFFFF"/>
          <w:lang w:val="en-GB"/>
        </w:rPr>
        <w:t>‘</w:t>
      </w:r>
      <w:r w:rsidRPr="00813E2C">
        <w:rPr>
          <w:rFonts w:ascii="Times New Roman" w:hAnsi="Times New Roman"/>
          <w:bCs/>
          <w:sz w:val="24"/>
          <w:szCs w:val="24"/>
          <w:shd w:val="clear" w:color="auto" w:fill="FFFFFF"/>
          <w:lang w:val="en-GB"/>
        </w:rPr>
        <w:t>common constitutional traditions</w:t>
      </w:r>
      <w:r>
        <w:rPr>
          <w:rFonts w:ascii="Times New Roman" w:hAnsi="Times New Roman"/>
          <w:bCs/>
          <w:sz w:val="24"/>
          <w:szCs w:val="24"/>
          <w:shd w:val="clear" w:color="auto" w:fill="FFFFFF"/>
          <w:lang w:val="en-GB"/>
        </w:rPr>
        <w:t xml:space="preserve">’, in the cases included in the Sample </w:t>
      </w:r>
      <w:r w:rsidRPr="00813E2C">
        <w:rPr>
          <w:rFonts w:ascii="Times New Roman" w:hAnsi="Times New Roman"/>
          <w:bCs/>
          <w:sz w:val="24"/>
          <w:szCs w:val="24"/>
          <w:shd w:val="clear" w:color="auto" w:fill="FFFFFF"/>
          <w:lang w:val="en-GB"/>
        </w:rPr>
        <w:t xml:space="preserve">the </w:t>
      </w:r>
      <w:r w:rsidRPr="003D634E">
        <w:rPr>
          <w:rFonts w:ascii="Times New Roman" w:hAnsi="Times New Roman"/>
          <w:bCs/>
          <w:sz w:val="24"/>
          <w:szCs w:val="24"/>
          <w:shd w:val="clear" w:color="auto" w:fill="FFFFFF"/>
          <w:lang w:val="en-GB"/>
        </w:rPr>
        <w:t xml:space="preserve">Court </w:t>
      </w:r>
      <w:r w:rsidRPr="00813E2C">
        <w:rPr>
          <w:rFonts w:ascii="Times New Roman" w:hAnsi="Times New Roman"/>
          <w:bCs/>
          <w:sz w:val="24"/>
          <w:szCs w:val="24"/>
          <w:shd w:val="clear" w:color="auto" w:fill="FFFFFF"/>
          <w:lang w:val="en-GB"/>
        </w:rPr>
        <w:t>has accepted as general principles of Community law the social function of the right to property</w:t>
      </w:r>
      <w:r>
        <w:rPr>
          <w:rFonts w:ascii="Times New Roman" w:hAnsi="Times New Roman"/>
          <w:bCs/>
          <w:sz w:val="24"/>
          <w:szCs w:val="24"/>
          <w:shd w:val="clear" w:color="auto" w:fill="FFFFFF"/>
          <w:lang w:val="en-GB"/>
        </w:rPr>
        <w:t>,</w:t>
      </w:r>
      <w:r w:rsidRPr="00813E2C">
        <w:rPr>
          <w:rStyle w:val="Rimandonotaapidipagina"/>
          <w:rFonts w:ascii="Times New Roman" w:hAnsi="Times New Roman"/>
          <w:bCs/>
          <w:sz w:val="24"/>
          <w:szCs w:val="24"/>
          <w:shd w:val="clear" w:color="auto" w:fill="FFFFFF"/>
          <w:lang w:val="en-GB"/>
        </w:rPr>
        <w:footnoteReference w:id="90"/>
      </w:r>
      <w:r w:rsidRPr="00813E2C">
        <w:rPr>
          <w:rFonts w:ascii="Times New Roman" w:hAnsi="Times New Roman"/>
          <w:bCs/>
          <w:sz w:val="24"/>
          <w:szCs w:val="24"/>
          <w:shd w:val="clear" w:color="auto" w:fill="FFFFFF"/>
          <w:lang w:val="en-GB"/>
        </w:rPr>
        <w:t xml:space="preserve"> </w:t>
      </w:r>
      <w:r w:rsidRPr="00813E2C">
        <w:rPr>
          <w:rFonts w:ascii="Times New Roman" w:hAnsi="Times New Roman"/>
          <w:bCs/>
          <w:iCs/>
          <w:sz w:val="24"/>
          <w:szCs w:val="24"/>
          <w:shd w:val="clear" w:color="auto" w:fill="FFFFFF"/>
          <w:lang w:val="en-GB"/>
        </w:rPr>
        <w:t>freedom of expression</w:t>
      </w:r>
      <w:r>
        <w:rPr>
          <w:rFonts w:ascii="Times New Roman" w:hAnsi="Times New Roman"/>
          <w:bCs/>
          <w:iCs/>
          <w:sz w:val="24"/>
          <w:szCs w:val="24"/>
          <w:shd w:val="clear" w:color="auto" w:fill="FFFFFF"/>
          <w:lang w:val="en-GB"/>
        </w:rPr>
        <w:t>,</w:t>
      </w:r>
      <w:r w:rsidRPr="00813E2C">
        <w:rPr>
          <w:rStyle w:val="Rimandonotaapidipagina"/>
          <w:rFonts w:ascii="Times New Roman" w:hAnsi="Times New Roman"/>
          <w:bCs/>
          <w:iCs/>
          <w:sz w:val="24"/>
          <w:szCs w:val="24"/>
          <w:shd w:val="clear" w:color="auto" w:fill="FFFFFF"/>
          <w:lang w:val="en-GB"/>
        </w:rPr>
        <w:footnoteReference w:id="91"/>
      </w:r>
      <w:r>
        <w:rPr>
          <w:rFonts w:ascii="Times New Roman" w:hAnsi="Times New Roman"/>
          <w:bCs/>
          <w:iCs/>
          <w:sz w:val="24"/>
          <w:szCs w:val="24"/>
          <w:shd w:val="clear" w:color="auto" w:fill="FFFFFF"/>
          <w:lang w:val="en-GB"/>
        </w:rPr>
        <w:t xml:space="preserve"> </w:t>
      </w:r>
      <w:r w:rsidRPr="0086121A">
        <w:rPr>
          <w:rFonts w:ascii="Times New Roman" w:hAnsi="Times New Roman"/>
          <w:bCs/>
          <w:iCs/>
          <w:sz w:val="24"/>
          <w:szCs w:val="24"/>
          <w:shd w:val="clear" w:color="auto" w:fill="FFFFFF"/>
          <w:lang w:val="en-GB"/>
        </w:rPr>
        <w:t>freedom of assembly,</w:t>
      </w:r>
      <w:r w:rsidRPr="0086121A">
        <w:rPr>
          <w:rStyle w:val="Rimandonotaapidipagina"/>
          <w:rFonts w:ascii="Times New Roman" w:hAnsi="Times New Roman"/>
          <w:bCs/>
          <w:iCs/>
          <w:sz w:val="24"/>
          <w:szCs w:val="24"/>
          <w:shd w:val="clear" w:color="auto" w:fill="FFFFFF"/>
          <w:lang w:val="en-GB"/>
        </w:rPr>
        <w:footnoteReference w:id="92"/>
      </w:r>
      <w:r w:rsidRPr="0086121A">
        <w:rPr>
          <w:rFonts w:ascii="Times New Roman" w:hAnsi="Times New Roman"/>
          <w:bCs/>
          <w:iCs/>
          <w:sz w:val="24"/>
          <w:szCs w:val="24"/>
          <w:shd w:val="clear" w:color="auto" w:fill="FFFFFF"/>
          <w:lang w:val="en-GB"/>
        </w:rPr>
        <w:t xml:space="preserve"> human dignity,</w:t>
      </w:r>
      <w:r w:rsidRPr="0086121A">
        <w:rPr>
          <w:rStyle w:val="Rimandonotaapidipagina"/>
          <w:rFonts w:ascii="Times New Roman" w:hAnsi="Times New Roman"/>
          <w:bCs/>
          <w:iCs/>
          <w:sz w:val="24"/>
          <w:szCs w:val="24"/>
          <w:shd w:val="clear" w:color="auto" w:fill="FFFFFF"/>
          <w:lang w:val="en-GB"/>
        </w:rPr>
        <w:footnoteReference w:id="93"/>
      </w:r>
      <w:r>
        <w:rPr>
          <w:rFonts w:ascii="Times New Roman" w:hAnsi="Times New Roman"/>
          <w:bCs/>
          <w:iCs/>
          <w:sz w:val="24"/>
          <w:szCs w:val="24"/>
          <w:shd w:val="clear" w:color="auto" w:fill="FFFFFF"/>
          <w:lang w:val="en-GB"/>
        </w:rPr>
        <w:t xml:space="preserve"> </w:t>
      </w:r>
      <w:r w:rsidRPr="00813E2C">
        <w:rPr>
          <w:rFonts w:ascii="Times New Roman" w:hAnsi="Times New Roman"/>
          <w:bCs/>
          <w:iCs/>
          <w:sz w:val="24"/>
          <w:szCs w:val="24"/>
          <w:shd w:val="clear" w:color="auto" w:fill="FFFFFF"/>
          <w:lang w:val="en-GB"/>
        </w:rPr>
        <w:t xml:space="preserve">the </w:t>
      </w:r>
      <w:r w:rsidRPr="00813E2C">
        <w:rPr>
          <w:rFonts w:ascii="Times New Roman" w:hAnsi="Times New Roman"/>
          <w:bCs/>
          <w:sz w:val="24"/>
          <w:szCs w:val="24"/>
          <w:shd w:val="clear" w:color="auto" w:fill="FFFFFF"/>
          <w:lang w:val="en-GB"/>
        </w:rPr>
        <w:t>principle of the non-contractual liability of the Community and of the Member States for loss and damage caused to individuals</w:t>
      </w:r>
      <w:r>
        <w:rPr>
          <w:rFonts w:ascii="Times New Roman" w:hAnsi="Times New Roman"/>
          <w:bCs/>
          <w:sz w:val="24"/>
          <w:szCs w:val="24"/>
          <w:shd w:val="clear" w:color="auto" w:fill="FFFFFF"/>
          <w:lang w:val="en-GB"/>
        </w:rPr>
        <w:t>,</w:t>
      </w:r>
      <w:r w:rsidRPr="00813E2C">
        <w:rPr>
          <w:rStyle w:val="Rimandonotaapidipagina"/>
          <w:rFonts w:ascii="Times New Roman" w:hAnsi="Times New Roman"/>
          <w:bCs/>
          <w:sz w:val="24"/>
          <w:szCs w:val="24"/>
          <w:shd w:val="clear" w:color="auto" w:fill="FFFFFF"/>
          <w:lang w:val="en-GB"/>
        </w:rPr>
        <w:footnoteReference w:id="94"/>
      </w:r>
      <w:r w:rsidRPr="00813E2C">
        <w:rPr>
          <w:rFonts w:ascii="Times New Roman" w:hAnsi="Times New Roman"/>
          <w:bCs/>
          <w:sz w:val="24"/>
          <w:szCs w:val="24"/>
          <w:shd w:val="clear" w:color="auto" w:fill="FFFFFF"/>
          <w:lang w:val="en-GB"/>
        </w:rPr>
        <w:t xml:space="preserve"> the right to a fair trial</w:t>
      </w:r>
      <w:r>
        <w:rPr>
          <w:rFonts w:ascii="Times New Roman" w:hAnsi="Times New Roman"/>
          <w:bCs/>
          <w:sz w:val="24"/>
          <w:szCs w:val="24"/>
          <w:shd w:val="clear" w:color="auto" w:fill="FFFFFF"/>
          <w:lang w:val="en-GB"/>
        </w:rPr>
        <w:t>,</w:t>
      </w:r>
      <w:r w:rsidRPr="00813E2C">
        <w:rPr>
          <w:rStyle w:val="Rimandonotaapidipagina"/>
          <w:rFonts w:ascii="Times New Roman" w:hAnsi="Times New Roman"/>
          <w:bCs/>
          <w:sz w:val="24"/>
          <w:szCs w:val="24"/>
          <w:shd w:val="clear" w:color="auto" w:fill="FFFFFF"/>
          <w:lang w:val="en-GB"/>
        </w:rPr>
        <w:footnoteReference w:id="95"/>
      </w:r>
      <w:r w:rsidRPr="00813E2C">
        <w:rPr>
          <w:rFonts w:ascii="Times New Roman" w:hAnsi="Times New Roman"/>
          <w:bCs/>
          <w:sz w:val="24"/>
          <w:szCs w:val="24"/>
          <w:shd w:val="clear" w:color="auto" w:fill="FFFFFF"/>
          <w:lang w:val="en-GB"/>
        </w:rPr>
        <w:t xml:space="preserve"> the principle of non-discrimination on grounds of age</w:t>
      </w:r>
      <w:r>
        <w:rPr>
          <w:rFonts w:ascii="Times New Roman" w:hAnsi="Times New Roman"/>
          <w:bCs/>
          <w:sz w:val="24"/>
          <w:szCs w:val="24"/>
          <w:shd w:val="clear" w:color="auto" w:fill="FFFFFF"/>
          <w:lang w:val="en-GB"/>
        </w:rPr>
        <w:t>,</w:t>
      </w:r>
      <w:r w:rsidRPr="00813E2C">
        <w:rPr>
          <w:rStyle w:val="Rimandonotaapidipagina"/>
          <w:rFonts w:ascii="Times New Roman" w:hAnsi="Times New Roman"/>
          <w:bCs/>
          <w:sz w:val="24"/>
          <w:szCs w:val="24"/>
          <w:shd w:val="clear" w:color="auto" w:fill="FFFFFF"/>
          <w:lang w:val="en-GB"/>
        </w:rPr>
        <w:footnoteReference w:id="96"/>
      </w:r>
      <w:r w:rsidRPr="00813E2C">
        <w:rPr>
          <w:rFonts w:ascii="Times New Roman" w:hAnsi="Times New Roman"/>
          <w:bCs/>
          <w:sz w:val="24"/>
          <w:szCs w:val="24"/>
          <w:shd w:val="clear" w:color="auto" w:fill="FFFFFF"/>
          <w:lang w:val="en-GB"/>
        </w:rPr>
        <w:t xml:space="preserve"> the principle </w:t>
      </w:r>
      <w:r w:rsidRPr="00813E2C">
        <w:rPr>
          <w:rFonts w:ascii="Times New Roman" w:hAnsi="Times New Roman"/>
          <w:bCs/>
          <w:i/>
          <w:iCs/>
          <w:sz w:val="24"/>
          <w:szCs w:val="24"/>
          <w:shd w:val="clear" w:color="auto" w:fill="FFFFFF"/>
          <w:lang w:val="en-GB"/>
        </w:rPr>
        <w:t>nullum crimen, nulla poena sine lege</w:t>
      </w:r>
      <w:r>
        <w:rPr>
          <w:rFonts w:ascii="Times New Roman" w:hAnsi="Times New Roman"/>
          <w:bCs/>
          <w:i/>
          <w:iCs/>
          <w:sz w:val="24"/>
          <w:szCs w:val="24"/>
          <w:shd w:val="clear" w:color="auto" w:fill="FFFFFF"/>
          <w:lang w:val="en-GB"/>
        </w:rPr>
        <w:t>,</w:t>
      </w:r>
      <w:r w:rsidRPr="00813E2C">
        <w:rPr>
          <w:rStyle w:val="Rimandonotaapidipagina"/>
          <w:rFonts w:ascii="Times New Roman" w:hAnsi="Times New Roman"/>
          <w:bCs/>
          <w:iCs/>
          <w:sz w:val="24"/>
          <w:szCs w:val="24"/>
          <w:shd w:val="clear" w:color="auto" w:fill="FFFFFF"/>
          <w:lang w:val="en-GB"/>
        </w:rPr>
        <w:footnoteReference w:id="97"/>
      </w:r>
      <w:r w:rsidRPr="00813E2C">
        <w:rPr>
          <w:rFonts w:ascii="Times New Roman" w:hAnsi="Times New Roman"/>
          <w:bCs/>
          <w:iCs/>
          <w:sz w:val="24"/>
          <w:szCs w:val="24"/>
          <w:shd w:val="clear" w:color="auto" w:fill="FFFFFF"/>
          <w:lang w:val="en-GB"/>
        </w:rPr>
        <w:t xml:space="preserve"> the right to take collective action</w:t>
      </w:r>
      <w:r>
        <w:rPr>
          <w:rFonts w:ascii="Times New Roman" w:hAnsi="Times New Roman"/>
          <w:bCs/>
          <w:iCs/>
          <w:sz w:val="24"/>
          <w:szCs w:val="24"/>
          <w:shd w:val="clear" w:color="auto" w:fill="FFFFFF"/>
          <w:lang w:val="en-GB"/>
        </w:rPr>
        <w:t>,</w:t>
      </w:r>
      <w:r w:rsidRPr="00813E2C">
        <w:rPr>
          <w:rStyle w:val="Rimandonotaapidipagina"/>
          <w:rFonts w:ascii="Times New Roman" w:hAnsi="Times New Roman"/>
          <w:bCs/>
          <w:iCs/>
          <w:sz w:val="24"/>
          <w:szCs w:val="24"/>
          <w:shd w:val="clear" w:color="auto" w:fill="FFFFFF"/>
          <w:lang w:val="en-GB"/>
        </w:rPr>
        <w:footnoteReference w:id="98"/>
      </w:r>
      <w:r w:rsidRPr="00813E2C">
        <w:rPr>
          <w:rFonts w:ascii="Times New Roman" w:hAnsi="Times New Roman"/>
          <w:bCs/>
          <w:iCs/>
          <w:sz w:val="24"/>
          <w:szCs w:val="24"/>
          <w:shd w:val="clear" w:color="auto" w:fill="FFFFFF"/>
          <w:lang w:val="en-GB"/>
        </w:rPr>
        <w:t xml:space="preserve"> and the right to be heard and right to effective judicial review</w:t>
      </w:r>
      <w:r>
        <w:rPr>
          <w:rFonts w:ascii="Times New Roman" w:hAnsi="Times New Roman"/>
          <w:bCs/>
          <w:iCs/>
          <w:sz w:val="24"/>
          <w:szCs w:val="24"/>
          <w:shd w:val="clear" w:color="auto" w:fill="FFFFFF"/>
          <w:lang w:val="en-GB"/>
        </w:rPr>
        <w:t>.</w:t>
      </w:r>
      <w:r w:rsidRPr="00813E2C">
        <w:rPr>
          <w:rStyle w:val="Rimandonotaapidipagina"/>
          <w:rFonts w:ascii="Times New Roman" w:hAnsi="Times New Roman"/>
          <w:bCs/>
          <w:iCs/>
          <w:sz w:val="24"/>
          <w:szCs w:val="24"/>
          <w:shd w:val="clear" w:color="auto" w:fill="FFFFFF"/>
          <w:lang w:val="en-GB"/>
        </w:rPr>
        <w:footnoteReference w:id="99"/>
      </w:r>
    </w:p>
    <w:p w:rsidR="005E6612" w:rsidRDefault="005E6612" w:rsidP="00B27D8E">
      <w:pPr>
        <w:spacing w:line="240" w:lineRule="auto"/>
        <w:jc w:val="both"/>
        <w:rPr>
          <w:rFonts w:ascii="Times New Roman" w:hAnsi="Times New Roman"/>
          <w:bCs/>
          <w:iCs/>
          <w:sz w:val="24"/>
          <w:szCs w:val="24"/>
          <w:shd w:val="clear" w:color="auto" w:fill="FFFFFF"/>
          <w:lang w:val="en-GB"/>
        </w:rPr>
      </w:pPr>
      <w:r w:rsidRPr="00813E2C">
        <w:rPr>
          <w:rFonts w:ascii="Times New Roman" w:hAnsi="Times New Roman"/>
          <w:bCs/>
          <w:iCs/>
          <w:sz w:val="24"/>
          <w:szCs w:val="24"/>
          <w:shd w:val="clear" w:color="auto" w:fill="FFFFFF"/>
          <w:lang w:val="en-GB"/>
        </w:rPr>
        <w:t xml:space="preserve">However, </w:t>
      </w:r>
      <w:r>
        <w:rPr>
          <w:rFonts w:ascii="Times New Roman" w:hAnsi="Times New Roman"/>
          <w:bCs/>
          <w:iCs/>
          <w:sz w:val="24"/>
          <w:szCs w:val="24"/>
          <w:shd w:val="clear" w:color="auto" w:fill="FFFFFF"/>
          <w:lang w:val="en-GB"/>
        </w:rPr>
        <w:t xml:space="preserve">we found only two cases in </w:t>
      </w:r>
      <w:r w:rsidRPr="00813E2C">
        <w:rPr>
          <w:rFonts w:ascii="Times New Roman" w:hAnsi="Times New Roman"/>
          <w:bCs/>
          <w:iCs/>
          <w:sz w:val="24"/>
          <w:szCs w:val="24"/>
          <w:shd w:val="clear" w:color="auto" w:fill="FFFFFF"/>
          <w:lang w:val="en-GB"/>
        </w:rPr>
        <w:t>which the Court d</w:t>
      </w:r>
      <w:r>
        <w:rPr>
          <w:rFonts w:ascii="Times New Roman" w:hAnsi="Times New Roman"/>
          <w:bCs/>
          <w:iCs/>
          <w:sz w:val="24"/>
          <w:szCs w:val="24"/>
          <w:shd w:val="clear" w:color="auto" w:fill="FFFFFF"/>
          <w:lang w:val="en-GB"/>
        </w:rPr>
        <w:t xml:space="preserve">id </w:t>
      </w:r>
      <w:r w:rsidRPr="00813E2C">
        <w:rPr>
          <w:rFonts w:ascii="Times New Roman" w:hAnsi="Times New Roman"/>
          <w:bCs/>
          <w:iCs/>
          <w:sz w:val="24"/>
          <w:szCs w:val="24"/>
          <w:shd w:val="clear" w:color="auto" w:fill="FFFFFF"/>
          <w:lang w:val="en-GB"/>
        </w:rPr>
        <w:t xml:space="preserve">not limit itself to declare that a certain rule results from the </w:t>
      </w:r>
      <w:r>
        <w:rPr>
          <w:rFonts w:ascii="Times New Roman" w:hAnsi="Times New Roman"/>
          <w:bCs/>
          <w:iCs/>
          <w:sz w:val="24"/>
          <w:szCs w:val="24"/>
          <w:shd w:val="clear" w:color="auto" w:fill="FFFFFF"/>
          <w:lang w:val="en-GB"/>
        </w:rPr>
        <w:t xml:space="preserve">common constitutional </w:t>
      </w:r>
      <w:r w:rsidRPr="00813E2C">
        <w:rPr>
          <w:rFonts w:ascii="Times New Roman" w:hAnsi="Times New Roman"/>
          <w:bCs/>
          <w:iCs/>
          <w:sz w:val="24"/>
          <w:szCs w:val="24"/>
          <w:shd w:val="clear" w:color="auto" w:fill="FFFFFF"/>
          <w:lang w:val="en-GB"/>
        </w:rPr>
        <w:t>traditions but engage</w:t>
      </w:r>
      <w:r>
        <w:rPr>
          <w:rFonts w:ascii="Times New Roman" w:hAnsi="Times New Roman"/>
          <w:bCs/>
          <w:iCs/>
          <w:sz w:val="24"/>
          <w:szCs w:val="24"/>
          <w:shd w:val="clear" w:color="auto" w:fill="FFFFFF"/>
          <w:lang w:val="en-GB"/>
        </w:rPr>
        <w:t>d</w:t>
      </w:r>
      <w:r w:rsidRPr="00813E2C">
        <w:rPr>
          <w:rFonts w:ascii="Times New Roman" w:hAnsi="Times New Roman"/>
          <w:bCs/>
          <w:iCs/>
          <w:sz w:val="24"/>
          <w:szCs w:val="24"/>
          <w:shd w:val="clear" w:color="auto" w:fill="FFFFFF"/>
          <w:lang w:val="en-GB"/>
        </w:rPr>
        <w:t xml:space="preserve"> in an explicit comparison </w:t>
      </w:r>
      <w:r>
        <w:rPr>
          <w:rFonts w:ascii="Times New Roman" w:hAnsi="Times New Roman"/>
          <w:bCs/>
          <w:iCs/>
          <w:sz w:val="24"/>
          <w:szCs w:val="24"/>
          <w:shd w:val="clear" w:color="auto" w:fill="FFFFFF"/>
          <w:lang w:val="en-GB"/>
        </w:rPr>
        <w:t>between the laws of the Member States</w:t>
      </w:r>
      <w:r>
        <w:rPr>
          <w:rStyle w:val="Rimandonotaapidipagina"/>
          <w:rFonts w:ascii="Times New Roman" w:hAnsi="Times New Roman"/>
          <w:bCs/>
          <w:iCs/>
          <w:sz w:val="24"/>
          <w:szCs w:val="24"/>
          <w:shd w:val="clear" w:color="auto" w:fill="FFFFFF"/>
          <w:lang w:val="en-GB"/>
        </w:rPr>
        <w:footnoteReference w:id="100"/>
      </w:r>
      <w:r>
        <w:rPr>
          <w:rFonts w:ascii="Times New Roman" w:hAnsi="Times New Roman"/>
          <w:bCs/>
          <w:iCs/>
          <w:sz w:val="24"/>
          <w:szCs w:val="24"/>
          <w:shd w:val="clear" w:color="auto" w:fill="FFFFFF"/>
          <w:lang w:val="en-GB"/>
        </w:rPr>
        <w:t>.</w:t>
      </w:r>
    </w:p>
    <w:p w:rsidR="005E6612" w:rsidRPr="00813E2C" w:rsidRDefault="005E6612" w:rsidP="00B27D8E">
      <w:pPr>
        <w:spacing w:line="240" w:lineRule="auto"/>
        <w:jc w:val="both"/>
        <w:rPr>
          <w:rFonts w:ascii="Times New Roman" w:hAnsi="Times New Roman"/>
          <w:bCs/>
          <w:iCs/>
          <w:sz w:val="24"/>
          <w:szCs w:val="24"/>
          <w:shd w:val="clear" w:color="auto" w:fill="FFFFFF"/>
          <w:lang w:val="en-GB"/>
        </w:rPr>
      </w:pPr>
      <w:r w:rsidRPr="00813E2C">
        <w:rPr>
          <w:rFonts w:ascii="Times New Roman" w:hAnsi="Times New Roman"/>
          <w:bCs/>
          <w:iCs/>
          <w:sz w:val="24"/>
          <w:szCs w:val="24"/>
          <w:shd w:val="clear" w:color="auto" w:fill="FFFFFF"/>
          <w:lang w:val="en-GB"/>
        </w:rPr>
        <w:t xml:space="preserve">C. </w:t>
      </w:r>
      <w:r w:rsidRPr="00813E2C">
        <w:rPr>
          <w:rFonts w:ascii="Times New Roman" w:hAnsi="Times New Roman"/>
          <w:bCs/>
          <w:iCs/>
          <w:smallCaps/>
          <w:sz w:val="24"/>
          <w:szCs w:val="24"/>
          <w:shd w:val="clear" w:color="auto" w:fill="FFFFFF"/>
          <w:lang w:val="en-GB"/>
        </w:rPr>
        <w:t>Key Concepts</w:t>
      </w:r>
      <w:r w:rsidRPr="00813E2C">
        <w:rPr>
          <w:rFonts w:ascii="Times New Roman" w:hAnsi="Times New Roman"/>
          <w:bCs/>
          <w:iCs/>
          <w:sz w:val="24"/>
          <w:szCs w:val="24"/>
          <w:shd w:val="clear" w:color="auto" w:fill="FFFFFF"/>
          <w:lang w:val="en-GB"/>
        </w:rPr>
        <w:t xml:space="preserve"> </w:t>
      </w:r>
    </w:p>
    <w:p w:rsidR="005E6612" w:rsidRPr="00813E2C" w:rsidRDefault="005E6612" w:rsidP="00B27D8E">
      <w:pPr>
        <w:spacing w:line="240" w:lineRule="auto"/>
        <w:jc w:val="both"/>
        <w:rPr>
          <w:rFonts w:ascii="Times New Roman" w:hAnsi="Times New Roman"/>
          <w:bCs/>
          <w:i/>
          <w:iCs/>
          <w:sz w:val="24"/>
          <w:szCs w:val="24"/>
          <w:shd w:val="clear" w:color="auto" w:fill="FFFFFF"/>
          <w:lang w:val="en-GB"/>
        </w:rPr>
      </w:pPr>
      <w:r w:rsidRPr="00813E2C">
        <w:rPr>
          <w:rFonts w:ascii="Times New Roman" w:hAnsi="Times New Roman"/>
          <w:bCs/>
          <w:iCs/>
          <w:sz w:val="24"/>
          <w:szCs w:val="24"/>
          <w:shd w:val="clear" w:color="auto" w:fill="FFFFFF"/>
          <w:lang w:val="en-GB"/>
        </w:rPr>
        <w:t xml:space="preserve">1. </w:t>
      </w:r>
      <w:r w:rsidRPr="00813E2C">
        <w:rPr>
          <w:rFonts w:ascii="Times New Roman" w:hAnsi="Times New Roman"/>
          <w:bCs/>
          <w:i/>
          <w:iCs/>
          <w:sz w:val="24"/>
          <w:szCs w:val="24"/>
          <w:shd w:val="clear" w:color="auto" w:fill="FFFFFF"/>
          <w:lang w:val="en-GB"/>
        </w:rPr>
        <w:t>Form of state, form of government, federalism, democracy</w:t>
      </w:r>
    </w:p>
    <w:p w:rsidR="005E6612" w:rsidRPr="00813E2C" w:rsidRDefault="005E6612" w:rsidP="00B27D8E">
      <w:pPr>
        <w:spacing w:line="240" w:lineRule="auto"/>
        <w:jc w:val="both"/>
        <w:rPr>
          <w:rFonts w:ascii="Times New Roman" w:hAnsi="Times New Roman"/>
          <w:bCs/>
          <w:iCs/>
          <w:sz w:val="24"/>
          <w:szCs w:val="24"/>
          <w:shd w:val="clear" w:color="auto" w:fill="FFFFFF"/>
          <w:lang w:val="en-GB"/>
        </w:rPr>
      </w:pPr>
      <w:r>
        <w:rPr>
          <w:rFonts w:ascii="Times New Roman" w:hAnsi="Times New Roman"/>
          <w:bCs/>
          <w:iCs/>
          <w:sz w:val="24"/>
          <w:szCs w:val="24"/>
          <w:shd w:val="clear" w:color="auto" w:fill="FFFFFF"/>
          <w:lang w:val="en-GB"/>
        </w:rPr>
        <w:t>I</w:t>
      </w:r>
      <w:r w:rsidRPr="00813E2C">
        <w:rPr>
          <w:rFonts w:ascii="Times New Roman" w:hAnsi="Times New Roman"/>
          <w:bCs/>
          <w:iCs/>
          <w:sz w:val="24"/>
          <w:szCs w:val="24"/>
          <w:shd w:val="clear" w:color="auto" w:fill="FFFFFF"/>
          <w:lang w:val="en-GB"/>
        </w:rPr>
        <w:t xml:space="preserve">n the </w:t>
      </w:r>
      <w:r>
        <w:rPr>
          <w:rFonts w:ascii="Times New Roman" w:hAnsi="Times New Roman"/>
          <w:bCs/>
          <w:iCs/>
          <w:sz w:val="24"/>
          <w:szCs w:val="24"/>
          <w:shd w:val="clear" w:color="auto" w:fill="FFFFFF"/>
          <w:lang w:val="en-GB"/>
        </w:rPr>
        <w:t>judgme</w:t>
      </w:r>
      <w:r w:rsidRPr="00813E2C">
        <w:rPr>
          <w:rFonts w:ascii="Times New Roman" w:hAnsi="Times New Roman"/>
          <w:bCs/>
          <w:iCs/>
          <w:sz w:val="24"/>
          <w:szCs w:val="24"/>
          <w:shd w:val="clear" w:color="auto" w:fill="FFFFFF"/>
          <w:lang w:val="en-GB"/>
        </w:rPr>
        <w:t xml:space="preserve">nts </w:t>
      </w:r>
      <w:r>
        <w:rPr>
          <w:rFonts w:ascii="Times New Roman" w:hAnsi="Times New Roman"/>
          <w:bCs/>
          <w:iCs/>
          <w:sz w:val="24"/>
          <w:szCs w:val="24"/>
          <w:shd w:val="clear" w:color="auto" w:fill="FFFFFF"/>
          <w:lang w:val="en-GB"/>
        </w:rPr>
        <w:t xml:space="preserve">of the Sample </w:t>
      </w:r>
      <w:r w:rsidRPr="00813E2C">
        <w:rPr>
          <w:rFonts w:ascii="Times New Roman" w:hAnsi="Times New Roman"/>
          <w:bCs/>
          <w:iCs/>
          <w:sz w:val="24"/>
          <w:szCs w:val="24"/>
          <w:shd w:val="clear" w:color="auto" w:fill="FFFFFF"/>
          <w:lang w:val="en-GB"/>
        </w:rPr>
        <w:t xml:space="preserve">we did not find any reference to the </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form of state</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 xml:space="preserve"> (monarchy or republic) nor to the </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form of government</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 xml:space="preserve"> (parliamentary or presidential). These concepts can hardly be applied to the EC/EU and probably there is no significant reference to them in the whole case law of the </w:t>
      </w:r>
      <w:r w:rsidRPr="003D634E">
        <w:rPr>
          <w:rFonts w:ascii="Times New Roman" w:hAnsi="Times New Roman"/>
          <w:bCs/>
          <w:iCs/>
          <w:sz w:val="24"/>
          <w:szCs w:val="24"/>
          <w:shd w:val="clear" w:color="auto" w:fill="FFFFFF"/>
          <w:lang w:val="en-GB"/>
        </w:rPr>
        <w:t>Court of Justice</w:t>
      </w:r>
      <w:r w:rsidRPr="00813E2C">
        <w:rPr>
          <w:rFonts w:ascii="Times New Roman" w:hAnsi="Times New Roman"/>
          <w:bCs/>
          <w:iCs/>
          <w:sz w:val="24"/>
          <w:szCs w:val="24"/>
          <w:shd w:val="clear" w:color="auto" w:fill="FFFFFF"/>
          <w:lang w:val="en-GB"/>
        </w:rPr>
        <w:t xml:space="preserve">. However, we did not find any reference even to analogous concepts that in political theory and in legal scholarship are intended to express some distinctive features of the EU or some normative expectations relating to the EU – notions that are current in the theoretical debate such as </w:t>
      </w:r>
      <w:r>
        <w:rPr>
          <w:rFonts w:ascii="Times New Roman" w:hAnsi="Times New Roman"/>
          <w:bCs/>
          <w:iCs/>
          <w:sz w:val="24"/>
          <w:szCs w:val="24"/>
          <w:shd w:val="clear" w:color="auto" w:fill="FFFFFF"/>
          <w:lang w:val="en-GB"/>
        </w:rPr>
        <w:t>‘constitutional pluralism’, ‘</w:t>
      </w:r>
      <w:r w:rsidRPr="00813E2C">
        <w:rPr>
          <w:rFonts w:ascii="Times New Roman" w:hAnsi="Times New Roman"/>
          <w:bCs/>
          <w:iCs/>
          <w:sz w:val="24"/>
          <w:szCs w:val="24"/>
          <w:shd w:val="clear" w:color="auto" w:fill="FFFFFF"/>
          <w:lang w:val="en-GB"/>
        </w:rPr>
        <w:t>mixed constitution</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 xml:space="preserve">, </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multilevel governance</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 xml:space="preserve">, or even the evergreen notion of the </w:t>
      </w:r>
      <w:r w:rsidRPr="006618AC">
        <w:rPr>
          <w:rFonts w:ascii="Times New Roman" w:hAnsi="Times New Roman"/>
          <w:bCs/>
          <w:i/>
          <w:iCs/>
          <w:sz w:val="24"/>
          <w:szCs w:val="24"/>
          <w:shd w:val="clear" w:color="auto" w:fill="FFFFFF"/>
          <w:lang w:val="en-GB"/>
        </w:rPr>
        <w:t>sui generis</w:t>
      </w:r>
      <w:r w:rsidRPr="00813E2C">
        <w:rPr>
          <w:rFonts w:ascii="Times New Roman" w:hAnsi="Times New Roman"/>
          <w:bCs/>
          <w:iCs/>
          <w:sz w:val="24"/>
          <w:szCs w:val="24"/>
          <w:shd w:val="clear" w:color="auto" w:fill="FFFFFF"/>
          <w:lang w:val="en-GB"/>
        </w:rPr>
        <w:t xml:space="preserve"> nature of the Community.</w:t>
      </w:r>
      <w:r>
        <w:rPr>
          <w:rFonts w:ascii="Times New Roman" w:hAnsi="Times New Roman"/>
          <w:bCs/>
          <w:iCs/>
          <w:sz w:val="24"/>
          <w:szCs w:val="24"/>
          <w:shd w:val="clear" w:color="auto" w:fill="FFFFFF"/>
          <w:lang w:val="en-GB"/>
        </w:rPr>
        <w:t xml:space="preserve"> </w:t>
      </w:r>
      <w:r w:rsidRPr="00813E2C">
        <w:rPr>
          <w:rFonts w:ascii="Times New Roman" w:hAnsi="Times New Roman"/>
          <w:bCs/>
          <w:iCs/>
          <w:sz w:val="24"/>
          <w:szCs w:val="24"/>
          <w:shd w:val="clear" w:color="auto" w:fill="FFFFFF"/>
          <w:lang w:val="en-GB"/>
        </w:rPr>
        <w:t>Generally speaking, we did not find any reference to concepts that refer to the EC/EU as a political community in its own right – while we are not short of references to concepts that relate to the Community as autonomous legal order.</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bCs/>
          <w:iCs/>
          <w:sz w:val="24"/>
          <w:szCs w:val="24"/>
          <w:shd w:val="clear" w:color="auto" w:fill="FFFFFF"/>
          <w:lang w:val="en-GB"/>
        </w:rPr>
        <w:t xml:space="preserve">We considered nonetheless that </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federalism</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 xml:space="preserve"> was mentioned in one </w:t>
      </w:r>
      <w:r>
        <w:rPr>
          <w:rFonts w:ascii="Times New Roman" w:hAnsi="Times New Roman"/>
          <w:bCs/>
          <w:iCs/>
          <w:sz w:val="24"/>
          <w:szCs w:val="24"/>
          <w:shd w:val="clear" w:color="auto" w:fill="FFFFFF"/>
          <w:lang w:val="en-GB"/>
        </w:rPr>
        <w:t>judgme</w:t>
      </w:r>
      <w:r w:rsidRPr="00813E2C">
        <w:rPr>
          <w:rFonts w:ascii="Times New Roman" w:hAnsi="Times New Roman"/>
          <w:bCs/>
          <w:iCs/>
          <w:sz w:val="24"/>
          <w:szCs w:val="24"/>
          <w:shd w:val="clear" w:color="auto" w:fill="FFFFFF"/>
          <w:lang w:val="en-GB"/>
        </w:rPr>
        <w:t>nt in which the Court rejected an argument by the German Government based on the principle of subsidiarity</w:t>
      </w:r>
      <w:r>
        <w:rPr>
          <w:rFonts w:ascii="Times New Roman" w:hAnsi="Times New Roman"/>
          <w:bCs/>
          <w:iCs/>
          <w:sz w:val="24"/>
          <w:szCs w:val="24"/>
          <w:shd w:val="clear" w:color="auto" w:fill="FFFFFF"/>
          <w:lang w:val="en-GB"/>
        </w:rPr>
        <w:t>.</w:t>
      </w:r>
      <w:r w:rsidRPr="00813E2C">
        <w:rPr>
          <w:rStyle w:val="Rimandonotaapidipagina"/>
          <w:rFonts w:ascii="Times New Roman" w:hAnsi="Times New Roman"/>
          <w:bCs/>
          <w:iCs/>
          <w:sz w:val="24"/>
          <w:szCs w:val="24"/>
          <w:shd w:val="clear" w:color="auto" w:fill="FFFFFF"/>
          <w:lang w:val="en-GB"/>
        </w:rPr>
        <w:footnoteReference w:id="101"/>
      </w:r>
      <w:r w:rsidRPr="00813E2C">
        <w:rPr>
          <w:rFonts w:ascii="Times New Roman" w:hAnsi="Times New Roman"/>
          <w:bCs/>
          <w:iCs/>
          <w:sz w:val="24"/>
          <w:szCs w:val="24"/>
          <w:shd w:val="clear" w:color="auto" w:fill="FFFFFF"/>
          <w:lang w:val="en-GB"/>
        </w:rPr>
        <w:t xml:space="preserve"> </w:t>
      </w:r>
      <w:r>
        <w:rPr>
          <w:rFonts w:ascii="Times New Roman" w:hAnsi="Times New Roman"/>
          <w:bCs/>
          <w:iCs/>
          <w:sz w:val="24"/>
          <w:szCs w:val="24"/>
          <w:shd w:val="clear" w:color="auto" w:fill="FFFFFF"/>
          <w:lang w:val="en-GB"/>
        </w:rPr>
        <w:t>W</w:t>
      </w:r>
      <w:r w:rsidRPr="00813E2C">
        <w:rPr>
          <w:rFonts w:ascii="Times New Roman" w:hAnsi="Times New Roman"/>
          <w:bCs/>
          <w:iCs/>
          <w:sz w:val="24"/>
          <w:szCs w:val="24"/>
          <w:shd w:val="clear" w:color="auto" w:fill="FFFFFF"/>
          <w:lang w:val="en-GB"/>
        </w:rPr>
        <w:t xml:space="preserve">e did not consider </w:t>
      </w:r>
      <w:r>
        <w:rPr>
          <w:rFonts w:ascii="Times New Roman" w:hAnsi="Times New Roman"/>
          <w:bCs/>
          <w:iCs/>
          <w:sz w:val="24"/>
          <w:szCs w:val="24"/>
          <w:shd w:val="clear" w:color="auto" w:fill="FFFFFF"/>
          <w:lang w:val="en-GB"/>
        </w:rPr>
        <w:t>that ‘</w:t>
      </w:r>
      <w:r w:rsidRPr="00813E2C">
        <w:rPr>
          <w:rFonts w:ascii="Times New Roman" w:hAnsi="Times New Roman"/>
          <w:bCs/>
          <w:iCs/>
          <w:sz w:val="24"/>
          <w:szCs w:val="24"/>
          <w:shd w:val="clear" w:color="auto" w:fill="FFFFFF"/>
          <w:lang w:val="en-GB"/>
        </w:rPr>
        <w:t>federalism</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 xml:space="preserve"> </w:t>
      </w:r>
      <w:r>
        <w:rPr>
          <w:rFonts w:ascii="Times New Roman" w:hAnsi="Times New Roman"/>
          <w:bCs/>
          <w:iCs/>
          <w:sz w:val="24"/>
          <w:szCs w:val="24"/>
          <w:shd w:val="clear" w:color="auto" w:fill="FFFFFF"/>
          <w:lang w:val="en-GB"/>
        </w:rPr>
        <w:t xml:space="preserve">was mentioned when </w:t>
      </w:r>
      <w:r w:rsidRPr="00813E2C">
        <w:rPr>
          <w:rFonts w:ascii="Times New Roman" w:hAnsi="Times New Roman"/>
          <w:bCs/>
          <w:iCs/>
          <w:sz w:val="24"/>
          <w:szCs w:val="24"/>
          <w:shd w:val="clear" w:color="auto" w:fill="FFFFFF"/>
          <w:lang w:val="en-GB"/>
        </w:rPr>
        <w:t>the Court made reference to the principle of loyal cooperation based on Article</w:t>
      </w:r>
      <w:r w:rsidRPr="00813E2C">
        <w:rPr>
          <w:rFonts w:ascii="Times New Roman" w:hAnsi="Times New Roman"/>
          <w:sz w:val="24"/>
          <w:szCs w:val="24"/>
          <w:lang w:val="en-GB"/>
        </w:rPr>
        <w:t xml:space="preserve"> 4(3) TEU (former Article 5 TEC)</w:t>
      </w:r>
      <w:r w:rsidRPr="00813E2C">
        <w:rPr>
          <w:rFonts w:ascii="Times New Roman" w:hAnsi="Times New Roman"/>
          <w:bCs/>
          <w:iCs/>
          <w:sz w:val="24"/>
          <w:szCs w:val="24"/>
          <w:shd w:val="clear" w:color="auto" w:fill="FFFFFF"/>
          <w:lang w:val="en-GB"/>
        </w:rPr>
        <w:t xml:space="preserve">, although it is interesting to note that the label </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loyal cooperation</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 xml:space="preserve">, which is obviously a </w:t>
      </w:r>
      <w:r w:rsidRPr="006618AC">
        <w:rPr>
          <w:rFonts w:ascii="Times New Roman" w:hAnsi="Times New Roman"/>
          <w:bCs/>
          <w:i/>
          <w:iCs/>
          <w:sz w:val="24"/>
          <w:szCs w:val="24"/>
          <w:shd w:val="clear" w:color="auto" w:fill="FFFFFF"/>
          <w:lang w:val="en-GB"/>
        </w:rPr>
        <w:t>calque</w:t>
      </w:r>
      <w:r w:rsidRPr="00813E2C">
        <w:rPr>
          <w:rFonts w:ascii="Times New Roman" w:hAnsi="Times New Roman"/>
          <w:bCs/>
          <w:iCs/>
          <w:sz w:val="24"/>
          <w:szCs w:val="24"/>
          <w:shd w:val="clear" w:color="auto" w:fill="FFFFFF"/>
          <w:lang w:val="en-GB"/>
        </w:rPr>
        <w:t xml:space="preserve"> from the German concept of </w:t>
      </w:r>
      <w:r w:rsidRPr="00813E2C">
        <w:rPr>
          <w:rFonts w:ascii="Times New Roman" w:hAnsi="Times New Roman"/>
          <w:bCs/>
          <w:i/>
          <w:iCs/>
          <w:sz w:val="24"/>
          <w:szCs w:val="24"/>
          <w:shd w:val="clear" w:color="auto" w:fill="FFFFFF"/>
          <w:lang w:val="en-GB"/>
        </w:rPr>
        <w:t>Bundestreue</w:t>
      </w:r>
      <w:r w:rsidRPr="00813E2C">
        <w:rPr>
          <w:rFonts w:ascii="Times New Roman" w:hAnsi="Times New Roman"/>
          <w:bCs/>
          <w:iCs/>
          <w:sz w:val="24"/>
          <w:szCs w:val="24"/>
          <w:shd w:val="clear" w:color="auto" w:fill="FFFFFF"/>
          <w:lang w:val="en-GB"/>
        </w:rPr>
        <w:t>, appear</w:t>
      </w:r>
      <w:r>
        <w:rPr>
          <w:rFonts w:ascii="Times New Roman" w:hAnsi="Times New Roman"/>
          <w:bCs/>
          <w:iCs/>
          <w:sz w:val="24"/>
          <w:szCs w:val="24"/>
          <w:shd w:val="clear" w:color="auto" w:fill="FFFFFF"/>
          <w:lang w:val="en-GB"/>
        </w:rPr>
        <w:t xml:space="preserve">ed </w:t>
      </w:r>
      <w:r w:rsidRPr="00813E2C">
        <w:rPr>
          <w:rFonts w:ascii="Times New Roman" w:hAnsi="Times New Roman"/>
          <w:bCs/>
          <w:iCs/>
          <w:sz w:val="24"/>
          <w:szCs w:val="24"/>
          <w:shd w:val="clear" w:color="auto" w:fill="FFFFFF"/>
          <w:lang w:val="en-GB"/>
        </w:rPr>
        <w:t>for the first time in 1991</w:t>
      </w:r>
      <w:r w:rsidRPr="00813E2C">
        <w:rPr>
          <w:rStyle w:val="Rimandonotaapidipagina"/>
          <w:rFonts w:ascii="Times New Roman" w:hAnsi="Times New Roman"/>
          <w:bCs/>
          <w:iCs/>
          <w:sz w:val="24"/>
          <w:szCs w:val="24"/>
          <w:shd w:val="clear" w:color="auto" w:fill="FFFFFF"/>
          <w:lang w:val="en-GB"/>
        </w:rPr>
        <w:footnoteReference w:id="102"/>
      </w:r>
      <w:r w:rsidRPr="00813E2C">
        <w:rPr>
          <w:rFonts w:ascii="Times New Roman" w:hAnsi="Times New Roman"/>
          <w:bCs/>
          <w:iCs/>
          <w:sz w:val="24"/>
          <w:szCs w:val="24"/>
          <w:shd w:val="clear" w:color="auto" w:fill="FFFFFF"/>
          <w:lang w:val="en-GB"/>
        </w:rPr>
        <w:t xml:space="preserve"> and, among the </w:t>
      </w:r>
      <w:r>
        <w:rPr>
          <w:rFonts w:ascii="Times New Roman" w:hAnsi="Times New Roman"/>
          <w:bCs/>
          <w:iCs/>
          <w:sz w:val="24"/>
          <w:szCs w:val="24"/>
          <w:shd w:val="clear" w:color="auto" w:fill="FFFFFF"/>
          <w:lang w:val="en-GB"/>
        </w:rPr>
        <w:t>judgme</w:t>
      </w:r>
      <w:r w:rsidRPr="00813E2C">
        <w:rPr>
          <w:rFonts w:ascii="Times New Roman" w:hAnsi="Times New Roman"/>
          <w:bCs/>
          <w:iCs/>
          <w:sz w:val="24"/>
          <w:szCs w:val="24"/>
          <w:shd w:val="clear" w:color="auto" w:fill="FFFFFF"/>
          <w:lang w:val="en-GB"/>
        </w:rPr>
        <w:t xml:space="preserve">nts analysed in the research, </w:t>
      </w:r>
      <w:r>
        <w:rPr>
          <w:rFonts w:ascii="Times New Roman" w:hAnsi="Times New Roman"/>
          <w:bCs/>
          <w:iCs/>
          <w:sz w:val="24"/>
          <w:szCs w:val="24"/>
          <w:shd w:val="clear" w:color="auto" w:fill="FFFFFF"/>
          <w:lang w:val="en-GB"/>
        </w:rPr>
        <w:t xml:space="preserve">was </w:t>
      </w:r>
      <w:r w:rsidRPr="00813E2C">
        <w:rPr>
          <w:rFonts w:ascii="Times New Roman" w:hAnsi="Times New Roman"/>
          <w:bCs/>
          <w:iCs/>
          <w:sz w:val="24"/>
          <w:szCs w:val="24"/>
          <w:shd w:val="clear" w:color="auto" w:fill="FFFFFF"/>
          <w:lang w:val="en-GB"/>
        </w:rPr>
        <w:t xml:space="preserve">employed in </w:t>
      </w:r>
      <w:r w:rsidRPr="00813E2C">
        <w:rPr>
          <w:rFonts w:ascii="Times New Roman" w:hAnsi="Times New Roman"/>
          <w:bCs/>
          <w:i/>
          <w:iCs/>
          <w:sz w:val="24"/>
          <w:szCs w:val="24"/>
          <w:shd w:val="clear" w:color="auto" w:fill="FFFFFF"/>
          <w:lang w:val="en-GB"/>
        </w:rPr>
        <w:t xml:space="preserve">Pupino </w:t>
      </w:r>
      <w:r w:rsidRPr="00813E2C">
        <w:rPr>
          <w:rFonts w:ascii="Times New Roman" w:hAnsi="Times New Roman"/>
          <w:bCs/>
          <w:iCs/>
          <w:sz w:val="24"/>
          <w:szCs w:val="24"/>
          <w:shd w:val="clear" w:color="auto" w:fill="FFFFFF"/>
          <w:lang w:val="en-GB"/>
        </w:rPr>
        <w:t>(2005)</w:t>
      </w:r>
      <w:r w:rsidRPr="00813E2C">
        <w:rPr>
          <w:rStyle w:val="Rimandonotaapidipagina"/>
          <w:rFonts w:ascii="Times New Roman" w:hAnsi="Times New Roman"/>
          <w:bCs/>
          <w:iCs/>
          <w:sz w:val="24"/>
          <w:szCs w:val="24"/>
          <w:shd w:val="clear" w:color="auto" w:fill="FFFFFF"/>
          <w:lang w:val="en-GB"/>
        </w:rPr>
        <w:footnoteReference w:id="103"/>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 xml:space="preserve"> Prior to that </w:t>
      </w:r>
      <w:r>
        <w:rPr>
          <w:rFonts w:ascii="Times New Roman" w:hAnsi="Times New Roman"/>
          <w:bCs/>
          <w:iCs/>
          <w:sz w:val="24"/>
          <w:szCs w:val="24"/>
          <w:shd w:val="clear" w:color="auto" w:fill="FFFFFF"/>
          <w:lang w:val="en-GB"/>
        </w:rPr>
        <w:t>judgme</w:t>
      </w:r>
      <w:r w:rsidRPr="00813E2C">
        <w:rPr>
          <w:rFonts w:ascii="Times New Roman" w:hAnsi="Times New Roman"/>
          <w:bCs/>
          <w:iCs/>
          <w:sz w:val="24"/>
          <w:szCs w:val="24"/>
          <w:shd w:val="clear" w:color="auto" w:fill="FFFFFF"/>
          <w:lang w:val="en-GB"/>
        </w:rPr>
        <w:t xml:space="preserve">nt, the Court had used the </w:t>
      </w:r>
      <w:r w:rsidRPr="00813E2C">
        <w:rPr>
          <w:rFonts w:ascii="Times New Roman" w:hAnsi="Times New Roman"/>
          <w:bCs/>
          <w:iCs/>
          <w:sz w:val="24"/>
          <w:szCs w:val="24"/>
          <w:shd w:val="clear" w:color="auto" w:fill="FFFFFF"/>
          <w:lang w:val="en-GB"/>
        </w:rPr>
        <w:lastRenderedPageBreak/>
        <w:t xml:space="preserve">expression </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principle of cooperation</w:t>
      </w:r>
      <w:r>
        <w:rPr>
          <w:rFonts w:ascii="Times New Roman" w:hAnsi="Times New Roman"/>
          <w:bCs/>
          <w:iCs/>
          <w:sz w:val="24"/>
          <w:szCs w:val="24"/>
          <w:shd w:val="clear" w:color="auto" w:fill="FFFFFF"/>
          <w:lang w:val="en-GB"/>
        </w:rPr>
        <w:t>’</w:t>
      </w:r>
      <w:r w:rsidRPr="00813E2C">
        <w:rPr>
          <w:rStyle w:val="Rimandonotaapidipagina"/>
          <w:rFonts w:ascii="Times New Roman" w:hAnsi="Times New Roman"/>
          <w:bCs/>
          <w:iCs/>
          <w:sz w:val="24"/>
          <w:szCs w:val="24"/>
          <w:shd w:val="clear" w:color="auto" w:fill="FFFFFF"/>
          <w:lang w:val="en-GB"/>
        </w:rPr>
        <w:footnoteReference w:id="104"/>
      </w:r>
      <w:r w:rsidRPr="00813E2C">
        <w:rPr>
          <w:rFonts w:ascii="Times New Roman" w:hAnsi="Times New Roman"/>
          <w:bCs/>
          <w:iCs/>
          <w:sz w:val="24"/>
          <w:szCs w:val="24"/>
          <w:shd w:val="clear" w:color="auto" w:fill="FFFFFF"/>
          <w:lang w:val="en-GB"/>
        </w:rPr>
        <w:t xml:space="preserve"> or the </w:t>
      </w:r>
      <w:r>
        <w:rPr>
          <w:rFonts w:ascii="Times New Roman" w:hAnsi="Times New Roman"/>
          <w:bCs/>
          <w:iCs/>
          <w:sz w:val="24"/>
          <w:szCs w:val="24"/>
          <w:shd w:val="clear" w:color="auto" w:fill="FFFFFF"/>
          <w:lang w:val="en-GB"/>
        </w:rPr>
        <w:t>‘</w:t>
      </w:r>
      <w:r w:rsidRPr="00813E2C">
        <w:rPr>
          <w:rFonts w:ascii="Times New Roman" w:hAnsi="Times New Roman"/>
          <w:bCs/>
          <w:iCs/>
          <w:sz w:val="24"/>
          <w:szCs w:val="24"/>
          <w:shd w:val="clear" w:color="auto" w:fill="FFFFFF"/>
          <w:lang w:val="en-GB"/>
        </w:rPr>
        <w:t>obligation to cooperate</w:t>
      </w:r>
      <w:r>
        <w:rPr>
          <w:rFonts w:ascii="Times New Roman" w:hAnsi="Times New Roman"/>
          <w:bCs/>
          <w:iCs/>
          <w:sz w:val="24"/>
          <w:szCs w:val="24"/>
          <w:shd w:val="clear" w:color="auto" w:fill="FFFFFF"/>
          <w:lang w:val="en-GB"/>
        </w:rPr>
        <w:t>’,</w:t>
      </w:r>
      <w:r w:rsidRPr="00813E2C">
        <w:rPr>
          <w:rStyle w:val="Rimandonotaapidipagina"/>
          <w:rFonts w:ascii="Times New Roman" w:hAnsi="Times New Roman"/>
          <w:bCs/>
          <w:iCs/>
          <w:sz w:val="24"/>
          <w:szCs w:val="24"/>
          <w:shd w:val="clear" w:color="auto" w:fill="FFFFFF"/>
          <w:lang w:val="en-GB"/>
        </w:rPr>
        <w:footnoteReference w:id="105"/>
      </w:r>
      <w:r w:rsidRPr="00813E2C">
        <w:rPr>
          <w:rFonts w:ascii="Times New Roman" w:hAnsi="Times New Roman"/>
          <w:bCs/>
          <w:iCs/>
          <w:sz w:val="24"/>
          <w:szCs w:val="24"/>
          <w:shd w:val="clear" w:color="auto" w:fill="FFFFFF"/>
          <w:lang w:val="en-GB"/>
        </w:rPr>
        <w:t xml:space="preserve"> or had simply quoted the text of </w:t>
      </w:r>
      <w:r w:rsidRPr="00813E2C">
        <w:rPr>
          <w:rFonts w:ascii="Times New Roman" w:hAnsi="Times New Roman"/>
          <w:sz w:val="24"/>
          <w:szCs w:val="24"/>
          <w:lang w:val="en-GB"/>
        </w:rPr>
        <w:t>Article 5 TEC (</w:t>
      </w:r>
      <w:r>
        <w:rPr>
          <w:rFonts w:ascii="Times New Roman" w:hAnsi="Times New Roman"/>
          <w:sz w:val="24"/>
          <w:szCs w:val="24"/>
          <w:lang w:val="en-GB"/>
        </w:rPr>
        <w:t>‘</w:t>
      </w:r>
      <w:r w:rsidRPr="00813E2C">
        <w:rPr>
          <w:rFonts w:ascii="Times New Roman" w:hAnsi="Times New Roman"/>
          <w:sz w:val="24"/>
          <w:szCs w:val="24"/>
          <w:lang w:val="en-GB"/>
        </w:rPr>
        <w:t>Member States shall take all appropriate measure</w:t>
      </w:r>
      <w:r>
        <w:rPr>
          <w:rFonts w:ascii="Times New Roman" w:hAnsi="Times New Roman"/>
          <w:sz w:val="24"/>
          <w:szCs w:val="24"/>
          <w:lang w:val="en-GB"/>
        </w:rPr>
        <w:t>s</w:t>
      </w:r>
      <w:r w:rsidRPr="00813E2C">
        <w:rPr>
          <w:rFonts w:ascii="Times New Roman" w:hAnsi="Times New Roman"/>
          <w:sz w:val="24"/>
          <w:szCs w:val="24"/>
          <w:lang w:val="en-GB"/>
        </w:rPr>
        <w:t xml:space="preserve"> ... to ensure fulfilment of the obligations...) without adding any </w:t>
      </w:r>
      <w:r>
        <w:rPr>
          <w:rFonts w:ascii="Times New Roman" w:hAnsi="Times New Roman"/>
          <w:sz w:val="24"/>
          <w:szCs w:val="24"/>
          <w:lang w:val="en-GB"/>
        </w:rPr>
        <w:t>‘</w:t>
      </w:r>
      <w:r w:rsidRPr="00813E2C">
        <w:rPr>
          <w:rFonts w:ascii="Times New Roman" w:hAnsi="Times New Roman"/>
          <w:sz w:val="24"/>
          <w:szCs w:val="24"/>
          <w:lang w:val="en-GB"/>
        </w:rPr>
        <w:t>federalist flavour</w:t>
      </w:r>
      <w:r>
        <w:rPr>
          <w:rFonts w:ascii="Times New Roman" w:hAnsi="Times New Roman"/>
          <w:sz w:val="24"/>
          <w:szCs w:val="24"/>
          <w:lang w:val="en-GB"/>
        </w:rPr>
        <w:t>’</w:t>
      </w:r>
      <w:r w:rsidRPr="00813E2C">
        <w:rPr>
          <w:rFonts w:ascii="Times New Roman" w:hAnsi="Times New Roman"/>
          <w:sz w:val="24"/>
          <w:szCs w:val="24"/>
          <w:lang w:val="en-GB"/>
        </w:rPr>
        <w:t xml:space="preserve"> to that formula</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06"/>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tends to refrain from having recourse to concepts that refer to the EC/EU as a political authority. </w:t>
      </w:r>
      <w:r w:rsidRPr="006618AC">
        <w:rPr>
          <w:rFonts w:ascii="Times New Roman" w:hAnsi="Times New Roman"/>
          <w:sz w:val="24"/>
          <w:szCs w:val="24"/>
          <w:lang w:val="en-GB"/>
        </w:rPr>
        <w:t xml:space="preserve">It is revealing in this regard that in the Sample there are only two cases in which the Court mentioned the democratic principle and it did so only in passing, in </w:t>
      </w:r>
      <w:r w:rsidRPr="006618AC">
        <w:rPr>
          <w:rFonts w:ascii="Times New Roman" w:hAnsi="Times New Roman"/>
          <w:i/>
          <w:iCs/>
          <w:sz w:val="24"/>
          <w:szCs w:val="24"/>
          <w:lang w:val="en-GB"/>
        </w:rPr>
        <w:t>obier dicta</w:t>
      </w:r>
      <w:r w:rsidRPr="006618AC">
        <w:rPr>
          <w:rFonts w:ascii="Times New Roman" w:hAnsi="Times New Roman"/>
          <w:sz w:val="24"/>
          <w:szCs w:val="24"/>
          <w:lang w:val="en-GB"/>
        </w:rPr>
        <w:t xml:space="preserve"> that were irrelevant to the decision of the case.</w:t>
      </w:r>
      <w:r w:rsidRPr="006618AC">
        <w:rPr>
          <w:rStyle w:val="Rimandonotaapidipagina"/>
          <w:rFonts w:ascii="Times New Roman" w:hAnsi="Times New Roman"/>
          <w:sz w:val="24"/>
          <w:szCs w:val="24"/>
          <w:lang w:val="en-GB"/>
        </w:rPr>
        <w:footnoteReference w:id="107"/>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It is true that</w:t>
      </w:r>
      <w:r w:rsidRPr="00813E2C">
        <w:rPr>
          <w:rFonts w:ascii="Times New Roman" w:hAnsi="Times New Roman"/>
          <w:bCs/>
          <w:iCs/>
          <w:sz w:val="24"/>
          <w:szCs w:val="24"/>
          <w:lang w:val="en-GB"/>
        </w:rPr>
        <w:t>, s</w:t>
      </w:r>
      <w:r w:rsidRPr="00813E2C">
        <w:rPr>
          <w:rFonts w:ascii="Times New Roman" w:hAnsi="Times New Roman"/>
          <w:sz w:val="24"/>
          <w:szCs w:val="24"/>
          <w:lang w:val="en-GB"/>
        </w:rPr>
        <w:t xml:space="preserve">tarting from the </w:t>
      </w:r>
      <w:r>
        <w:rPr>
          <w:rFonts w:ascii="Times New Roman" w:hAnsi="Times New Roman"/>
          <w:sz w:val="24"/>
          <w:szCs w:val="24"/>
          <w:lang w:val="en-GB"/>
        </w:rPr>
        <w:t>‘</w:t>
      </w:r>
      <w:r w:rsidRPr="00813E2C">
        <w:rPr>
          <w:rFonts w:ascii="Times New Roman" w:hAnsi="Times New Roman"/>
          <w:sz w:val="24"/>
          <w:szCs w:val="24"/>
          <w:lang w:val="en-GB"/>
        </w:rPr>
        <w:t xml:space="preserve">Isoglucose </w:t>
      </w:r>
      <w:r>
        <w:rPr>
          <w:rFonts w:ascii="Times New Roman" w:hAnsi="Times New Roman"/>
          <w:sz w:val="24"/>
          <w:szCs w:val="24"/>
          <w:lang w:val="en-GB"/>
        </w:rPr>
        <w:t>judgme</w:t>
      </w:r>
      <w:r w:rsidRPr="00813E2C">
        <w:rPr>
          <w:rFonts w:ascii="Times New Roman" w:hAnsi="Times New Roman"/>
          <w:sz w:val="24"/>
          <w:szCs w:val="24"/>
          <w:lang w:val="en-GB"/>
        </w:rPr>
        <w:t>nts</w:t>
      </w:r>
      <w:r>
        <w:rPr>
          <w:rFonts w:ascii="Times New Roman" w:hAnsi="Times New Roman"/>
          <w:sz w:val="24"/>
          <w:szCs w:val="24"/>
          <w:lang w:val="en-GB"/>
        </w:rPr>
        <w:t>’</w:t>
      </w:r>
      <w:r w:rsidRPr="00813E2C">
        <w:rPr>
          <w:rFonts w:ascii="Times New Roman" w:hAnsi="Times New Roman"/>
          <w:sz w:val="24"/>
          <w:szCs w:val="24"/>
          <w:lang w:val="en-GB"/>
        </w:rPr>
        <w:t xml:space="preserve"> of 1980</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08"/>
      </w:r>
      <w:r w:rsidRPr="00813E2C">
        <w:rPr>
          <w:rFonts w:ascii="Times New Roman" w:hAnsi="Times New Roman"/>
          <w:sz w:val="24"/>
          <w:szCs w:val="24"/>
          <w:lang w:val="en-GB"/>
        </w:rPr>
        <w:t xml:space="preserve"> the Court has often upheld the prerogatives of the Parliament on the basis of what it calls </w:t>
      </w:r>
      <w:r>
        <w:rPr>
          <w:rFonts w:ascii="Times New Roman" w:hAnsi="Times New Roman"/>
          <w:sz w:val="24"/>
          <w:szCs w:val="24"/>
          <w:lang w:val="en-GB"/>
        </w:rPr>
        <w:t>‘</w:t>
      </w:r>
      <w:r w:rsidRPr="00813E2C">
        <w:rPr>
          <w:rFonts w:ascii="Times New Roman" w:hAnsi="Times New Roman"/>
          <w:sz w:val="24"/>
          <w:szCs w:val="24"/>
          <w:lang w:val="en-GB"/>
        </w:rPr>
        <w:t>the fundamental democratic principle that the peoples should take part in the exercise of power through the intermediary of a representative assembly</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09"/>
      </w:r>
      <w:r w:rsidRPr="00813E2C">
        <w:rPr>
          <w:rFonts w:ascii="Times New Roman" w:hAnsi="Times New Roman"/>
          <w:sz w:val="24"/>
          <w:szCs w:val="24"/>
          <w:lang w:val="en-GB"/>
        </w:rPr>
        <w:t xml:space="preserve"> The participation of the Parliament in the legislative process constitutes, according to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w:t>
      </w:r>
      <w:r>
        <w:rPr>
          <w:rFonts w:ascii="Times New Roman" w:hAnsi="Times New Roman"/>
          <w:sz w:val="24"/>
          <w:szCs w:val="24"/>
          <w:lang w:val="en-GB"/>
        </w:rPr>
        <w:t>‘</w:t>
      </w:r>
      <w:r w:rsidRPr="00813E2C">
        <w:rPr>
          <w:rFonts w:ascii="Times New Roman" w:hAnsi="Times New Roman"/>
          <w:sz w:val="24"/>
          <w:szCs w:val="24"/>
          <w:lang w:val="en-GB"/>
        </w:rPr>
        <w:t>an essential formality disregard of which means that the measure concerned is void</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10"/>
      </w:r>
      <w:r w:rsidRPr="00813E2C">
        <w:rPr>
          <w:rFonts w:ascii="Times New Roman" w:hAnsi="Times New Roman"/>
          <w:sz w:val="24"/>
          <w:szCs w:val="24"/>
          <w:lang w:val="en-GB"/>
        </w:rPr>
        <w:t xml:space="preserve"> Recently, the Court has even made reference to the </w:t>
      </w:r>
      <w:r>
        <w:rPr>
          <w:rFonts w:ascii="Times New Roman" w:hAnsi="Times New Roman"/>
          <w:sz w:val="24"/>
          <w:szCs w:val="24"/>
          <w:lang w:val="en-GB"/>
        </w:rPr>
        <w:t>‘</w:t>
      </w:r>
      <w:r w:rsidRPr="00813E2C">
        <w:rPr>
          <w:rFonts w:ascii="Times New Roman" w:hAnsi="Times New Roman"/>
          <w:sz w:val="24"/>
          <w:szCs w:val="24"/>
          <w:lang w:val="en-GB"/>
        </w:rPr>
        <w:t>importance of the Parliament’s role in the Community legislative process</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11"/>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However, </w:t>
      </w:r>
      <w:r>
        <w:rPr>
          <w:rFonts w:ascii="Times New Roman" w:hAnsi="Times New Roman"/>
          <w:sz w:val="24"/>
          <w:szCs w:val="24"/>
          <w:lang w:val="en-GB"/>
        </w:rPr>
        <w:t xml:space="preserve">in the case law of the </w:t>
      </w:r>
      <w:r w:rsidRPr="003D634E">
        <w:rPr>
          <w:rFonts w:ascii="Times New Roman" w:hAnsi="Times New Roman"/>
          <w:sz w:val="24"/>
          <w:szCs w:val="24"/>
          <w:lang w:val="en-GB"/>
        </w:rPr>
        <w:t>Court of Justice</w:t>
      </w:r>
      <w:r>
        <w:rPr>
          <w:rFonts w:ascii="Times New Roman" w:hAnsi="Times New Roman"/>
          <w:sz w:val="24"/>
          <w:szCs w:val="24"/>
          <w:lang w:val="en-GB"/>
        </w:rPr>
        <w:t xml:space="preserve"> </w:t>
      </w:r>
      <w:r w:rsidRPr="00813E2C">
        <w:rPr>
          <w:rFonts w:ascii="Times New Roman" w:hAnsi="Times New Roman"/>
          <w:sz w:val="24"/>
          <w:szCs w:val="24"/>
          <w:lang w:val="en-GB"/>
        </w:rPr>
        <w:t xml:space="preserve">appeals to the democratic principle </w:t>
      </w:r>
      <w:r>
        <w:rPr>
          <w:rFonts w:ascii="Times New Roman" w:hAnsi="Times New Roman"/>
          <w:sz w:val="24"/>
          <w:szCs w:val="24"/>
          <w:lang w:val="en-GB"/>
        </w:rPr>
        <w:t xml:space="preserve">are the exception rather than the rule. Maybe this is due to the fact that </w:t>
      </w:r>
      <w:r w:rsidRPr="00813E2C">
        <w:rPr>
          <w:rFonts w:ascii="Times New Roman" w:hAnsi="Times New Roman"/>
          <w:sz w:val="24"/>
          <w:szCs w:val="24"/>
          <w:lang w:val="en-GB"/>
        </w:rPr>
        <w:t xml:space="preserve">in the context </w:t>
      </w:r>
      <w:r>
        <w:rPr>
          <w:rFonts w:ascii="Times New Roman" w:hAnsi="Times New Roman"/>
          <w:sz w:val="24"/>
          <w:szCs w:val="24"/>
          <w:lang w:val="en-GB"/>
        </w:rPr>
        <w:t>of the EU they r</w:t>
      </w:r>
      <w:r w:rsidRPr="00813E2C">
        <w:rPr>
          <w:rFonts w:ascii="Times New Roman" w:hAnsi="Times New Roman"/>
          <w:sz w:val="24"/>
          <w:szCs w:val="24"/>
          <w:lang w:val="en-GB"/>
        </w:rPr>
        <w:t xml:space="preserve">un the risk of being intrinsically divisive and cannot easily be employed to </w:t>
      </w:r>
      <w:r>
        <w:rPr>
          <w:rFonts w:ascii="Times New Roman" w:hAnsi="Times New Roman"/>
          <w:sz w:val="24"/>
          <w:szCs w:val="24"/>
          <w:lang w:val="en-GB"/>
        </w:rPr>
        <w:t xml:space="preserve">strengthen </w:t>
      </w:r>
      <w:r w:rsidRPr="00813E2C">
        <w:rPr>
          <w:rFonts w:ascii="Times New Roman" w:hAnsi="Times New Roman"/>
          <w:sz w:val="24"/>
          <w:szCs w:val="24"/>
          <w:lang w:val="en-GB"/>
        </w:rPr>
        <w:t xml:space="preserve">the </w:t>
      </w:r>
      <w:r>
        <w:rPr>
          <w:rFonts w:ascii="Times New Roman" w:hAnsi="Times New Roman"/>
          <w:sz w:val="24"/>
          <w:szCs w:val="24"/>
          <w:lang w:val="en-GB"/>
        </w:rPr>
        <w:t>role of the European Parliament</w:t>
      </w:r>
      <w:r w:rsidRPr="00813E2C">
        <w:rPr>
          <w:rFonts w:ascii="Times New Roman" w:hAnsi="Times New Roman"/>
          <w:sz w:val="24"/>
          <w:szCs w:val="24"/>
          <w:lang w:val="en-GB"/>
        </w:rPr>
        <w:t xml:space="preserve">. </w:t>
      </w:r>
      <w:r>
        <w:rPr>
          <w:rFonts w:ascii="Times New Roman" w:hAnsi="Times New Roman"/>
          <w:sz w:val="24"/>
          <w:szCs w:val="24"/>
          <w:lang w:val="en-GB"/>
        </w:rPr>
        <w:t>Indeed i</w:t>
      </w:r>
      <w:r w:rsidRPr="00813E2C">
        <w:rPr>
          <w:rFonts w:ascii="Times New Roman" w:hAnsi="Times New Roman"/>
          <w:sz w:val="24"/>
          <w:szCs w:val="24"/>
          <w:lang w:val="en-GB"/>
        </w:rPr>
        <w:t xml:space="preserve">n the EU it is far from clear where the locus of democracy lies – whether in the representative institution of the European Parliament, in the intergovernmental institutions of the Council of the EU and the European Council, in the indirect control exercised by the national parliaments and by other national authorities, or whether the legitimacy of the EU is essentially an </w:t>
      </w:r>
      <w:r>
        <w:rPr>
          <w:rFonts w:ascii="Times New Roman" w:hAnsi="Times New Roman"/>
          <w:sz w:val="24"/>
          <w:szCs w:val="24"/>
          <w:lang w:val="en-GB"/>
        </w:rPr>
        <w:t>‘</w:t>
      </w:r>
      <w:r w:rsidRPr="00813E2C">
        <w:rPr>
          <w:rFonts w:ascii="Times New Roman" w:hAnsi="Times New Roman"/>
          <w:sz w:val="24"/>
          <w:szCs w:val="24"/>
          <w:lang w:val="en-GB"/>
        </w:rPr>
        <w:t>output legitimacy</w:t>
      </w:r>
      <w:r>
        <w:rPr>
          <w:rFonts w:ascii="Times New Roman" w:hAnsi="Times New Roman"/>
          <w:sz w:val="24"/>
          <w:szCs w:val="24"/>
          <w:lang w:val="en-GB"/>
        </w:rPr>
        <w:t>’</w:t>
      </w:r>
      <w:r w:rsidRPr="00813E2C">
        <w:rPr>
          <w:rFonts w:ascii="Times New Roman" w:hAnsi="Times New Roman"/>
          <w:sz w:val="24"/>
          <w:szCs w:val="24"/>
          <w:lang w:val="en-GB"/>
        </w:rPr>
        <w:t xml:space="preserve"> provided by technical bodies such as the European Commission,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and the European Central Bank. </w:t>
      </w:r>
      <w:r>
        <w:rPr>
          <w:rFonts w:ascii="Times New Roman" w:hAnsi="Times New Roman"/>
          <w:sz w:val="24"/>
          <w:szCs w:val="24"/>
          <w:lang w:val="en-GB"/>
        </w:rPr>
        <w:t>N</w:t>
      </w:r>
      <w:r w:rsidRPr="00813E2C">
        <w:rPr>
          <w:rFonts w:ascii="Times New Roman" w:hAnsi="Times New Roman"/>
          <w:sz w:val="24"/>
          <w:szCs w:val="24"/>
          <w:lang w:val="en-GB"/>
        </w:rPr>
        <w:t xml:space="preserve">o institution can claim a monopoly on democratic legitimacy, and therefore in the case law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references to democratic legitimacy provide little more than a rhetorical flourish</w:t>
      </w:r>
      <w:r>
        <w:rPr>
          <w:rFonts w:ascii="Times New Roman" w:hAnsi="Times New Roman"/>
          <w:sz w:val="24"/>
          <w:szCs w:val="24"/>
          <w:lang w:val="en-GB"/>
        </w:rPr>
        <w:t xml:space="preserve"> in a small number of judgments not included in the Sample</w:t>
      </w:r>
      <w:r w:rsidRPr="00813E2C">
        <w:rPr>
          <w:rFonts w:ascii="Times New Roman" w:hAnsi="Times New Roman"/>
          <w:sz w:val="24"/>
          <w:szCs w:val="24"/>
          <w:lang w:val="en-GB"/>
        </w:rPr>
        <w:t>.</w:t>
      </w:r>
    </w:p>
    <w:p w:rsidR="005E6612" w:rsidRPr="00813E2C" w:rsidRDefault="005E6612" w:rsidP="00B27D8E">
      <w:pPr>
        <w:spacing w:line="240" w:lineRule="auto"/>
        <w:jc w:val="both"/>
        <w:rPr>
          <w:rFonts w:ascii="Times New Roman" w:hAnsi="Times New Roman"/>
          <w:bCs/>
          <w:iCs/>
          <w:sz w:val="24"/>
          <w:szCs w:val="24"/>
          <w:shd w:val="clear" w:color="auto" w:fill="FFFFFF"/>
          <w:lang w:val="en-GB"/>
        </w:rPr>
      </w:pPr>
      <w:r w:rsidRPr="00813E2C">
        <w:rPr>
          <w:rFonts w:ascii="Times New Roman" w:hAnsi="Times New Roman"/>
          <w:sz w:val="24"/>
          <w:szCs w:val="24"/>
          <w:lang w:val="en-GB"/>
        </w:rPr>
        <w:t xml:space="preserve">2. </w:t>
      </w:r>
      <w:r w:rsidRPr="00813E2C">
        <w:rPr>
          <w:rFonts w:ascii="Times New Roman" w:hAnsi="Times New Roman"/>
          <w:i/>
          <w:sz w:val="24"/>
          <w:szCs w:val="24"/>
          <w:lang w:val="en-GB"/>
        </w:rPr>
        <w:t>Sovereignty and Nation</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bCs/>
          <w:iCs/>
          <w:sz w:val="24"/>
          <w:szCs w:val="24"/>
          <w:shd w:val="clear" w:color="auto" w:fill="FFFFFF"/>
          <w:lang w:val="en-GB"/>
        </w:rPr>
        <w:t xml:space="preserve">What we have just said about the difficulty of the </w:t>
      </w:r>
      <w:r w:rsidRPr="003D634E">
        <w:rPr>
          <w:rFonts w:ascii="Times New Roman" w:hAnsi="Times New Roman"/>
          <w:bCs/>
          <w:iCs/>
          <w:sz w:val="24"/>
          <w:szCs w:val="24"/>
          <w:shd w:val="clear" w:color="auto" w:fill="FFFFFF"/>
          <w:lang w:val="en-GB"/>
        </w:rPr>
        <w:t>Court of Justice</w:t>
      </w:r>
      <w:r w:rsidRPr="00813E2C">
        <w:rPr>
          <w:rFonts w:ascii="Times New Roman" w:hAnsi="Times New Roman"/>
          <w:bCs/>
          <w:iCs/>
          <w:sz w:val="24"/>
          <w:szCs w:val="24"/>
          <w:shd w:val="clear" w:color="auto" w:fill="FFFFFF"/>
          <w:lang w:val="en-GB"/>
        </w:rPr>
        <w:t xml:space="preserve"> in employing concepts that imply or refer to the political nature of the EC/EU </w:t>
      </w:r>
      <w:r>
        <w:rPr>
          <w:rFonts w:ascii="Times New Roman" w:hAnsi="Times New Roman"/>
          <w:bCs/>
          <w:iCs/>
          <w:sz w:val="24"/>
          <w:szCs w:val="24"/>
          <w:shd w:val="clear" w:color="auto" w:fill="FFFFFF"/>
          <w:lang w:val="en-GB"/>
        </w:rPr>
        <w:t xml:space="preserve">– concepts </w:t>
      </w:r>
      <w:r w:rsidRPr="00813E2C">
        <w:rPr>
          <w:rFonts w:ascii="Times New Roman" w:hAnsi="Times New Roman"/>
          <w:bCs/>
          <w:iCs/>
          <w:sz w:val="24"/>
          <w:szCs w:val="24"/>
          <w:shd w:val="clear" w:color="auto" w:fill="FFFFFF"/>
          <w:lang w:val="en-GB"/>
        </w:rPr>
        <w:t xml:space="preserve">that therefore are liable of having a divisive effect in the context of the </w:t>
      </w:r>
      <w:r>
        <w:rPr>
          <w:rFonts w:ascii="Times New Roman" w:hAnsi="Times New Roman"/>
          <w:bCs/>
          <w:iCs/>
          <w:sz w:val="24"/>
          <w:szCs w:val="24"/>
          <w:shd w:val="clear" w:color="auto" w:fill="FFFFFF"/>
          <w:lang w:val="en-GB"/>
        </w:rPr>
        <w:t>Union –</w:t>
      </w:r>
      <w:r w:rsidRPr="00813E2C">
        <w:rPr>
          <w:rFonts w:ascii="Times New Roman" w:hAnsi="Times New Roman"/>
          <w:bCs/>
          <w:iCs/>
          <w:sz w:val="24"/>
          <w:szCs w:val="24"/>
          <w:shd w:val="clear" w:color="auto" w:fill="FFFFFF"/>
          <w:lang w:val="en-GB"/>
        </w:rPr>
        <w:t xml:space="preserve"> applies </w:t>
      </w:r>
      <w:r>
        <w:rPr>
          <w:rFonts w:ascii="Times New Roman" w:hAnsi="Times New Roman"/>
          <w:bCs/>
          <w:i/>
          <w:iCs/>
          <w:sz w:val="24"/>
          <w:szCs w:val="24"/>
          <w:shd w:val="clear" w:color="auto" w:fill="FFFFFF"/>
          <w:lang w:val="en-GB"/>
        </w:rPr>
        <w:t>a fortiori</w:t>
      </w:r>
      <w:r w:rsidRPr="00813E2C">
        <w:rPr>
          <w:rFonts w:ascii="Times New Roman" w:hAnsi="Times New Roman"/>
          <w:bCs/>
          <w:iCs/>
          <w:sz w:val="24"/>
          <w:szCs w:val="24"/>
          <w:shd w:val="clear" w:color="auto" w:fill="FFFFFF"/>
          <w:lang w:val="en-GB"/>
        </w:rPr>
        <w:t xml:space="preserve"> to </w:t>
      </w:r>
      <w:r w:rsidRPr="00813E2C">
        <w:rPr>
          <w:rFonts w:ascii="Times New Roman" w:hAnsi="Times New Roman"/>
          <w:sz w:val="24"/>
          <w:szCs w:val="24"/>
          <w:lang w:val="en-GB"/>
        </w:rPr>
        <w:t>the concept of (political) sovereignty and to the concepts of nation and supranational.</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With regard to sovereignty, it can be safely said that the </w:t>
      </w:r>
      <w:r w:rsidRPr="003D634E">
        <w:rPr>
          <w:rFonts w:ascii="Times New Roman" w:hAnsi="Times New Roman"/>
          <w:sz w:val="24"/>
          <w:szCs w:val="24"/>
          <w:lang w:val="en-GB"/>
        </w:rPr>
        <w:t xml:space="preserve">Court </w:t>
      </w:r>
      <w:r w:rsidRPr="00813E2C">
        <w:rPr>
          <w:rFonts w:ascii="Times New Roman" w:hAnsi="Times New Roman"/>
          <w:sz w:val="24"/>
          <w:szCs w:val="24"/>
          <w:lang w:val="en-GB"/>
        </w:rPr>
        <w:t xml:space="preserve">is very conscious of the political environment in which it operates and often takes into consideration the political dimension of the sovereignty of Member States – the salience of national interests and identities involved in the controversies before the Court and the autonomy of the national political authorities. </w:t>
      </w:r>
      <w:r w:rsidRPr="00AF570B">
        <w:rPr>
          <w:rFonts w:ascii="Times New Roman" w:hAnsi="Times New Roman"/>
          <w:sz w:val="24"/>
          <w:szCs w:val="24"/>
          <w:lang w:val="en-GB"/>
        </w:rPr>
        <w:t>Even before the Treaties of Maastricht and Lisbon introduced the obligation of the Union to respect the national identities of the Member States (</w:t>
      </w:r>
      <w:r w:rsidRPr="00AF570B">
        <w:rPr>
          <w:rFonts w:ascii="Times New Roman" w:hAnsi="Times New Roman"/>
          <w:sz w:val="24"/>
          <w:szCs w:val="24"/>
        </w:rPr>
        <w:t>Article 4(2) TEU</w:t>
      </w:r>
      <w:r w:rsidRPr="00AF570B">
        <w:rPr>
          <w:rFonts w:ascii="Times New Roman" w:hAnsi="Times New Roman"/>
          <w:sz w:val="24"/>
          <w:szCs w:val="24"/>
          <w:lang w:val="en-GB"/>
        </w:rPr>
        <w:t>),</w:t>
      </w:r>
      <w:r>
        <w:rPr>
          <w:rFonts w:ascii="Times New Roman" w:hAnsi="Times New Roman"/>
          <w:sz w:val="24"/>
          <w:szCs w:val="24"/>
          <w:lang w:val="en-GB"/>
        </w:rPr>
        <w:t xml:space="preserve"> </w:t>
      </w:r>
      <w:r w:rsidRPr="00813E2C">
        <w:rPr>
          <w:rFonts w:ascii="Times New Roman" w:hAnsi="Times New Roman"/>
          <w:sz w:val="24"/>
          <w:szCs w:val="24"/>
          <w:lang w:val="en-GB"/>
        </w:rPr>
        <w:t xml:space="preserve">deference to national sovereignty has made its </w:t>
      </w:r>
      <w:r w:rsidRPr="00813E2C">
        <w:rPr>
          <w:rFonts w:ascii="Times New Roman" w:hAnsi="Times New Roman"/>
          <w:sz w:val="24"/>
          <w:szCs w:val="24"/>
          <w:lang w:val="en-GB"/>
        </w:rPr>
        <w:lastRenderedPageBreak/>
        <w:t>way into the explicit legal reasoning of the Court by means of a (rather rudimentary, in comparison with the case law</w:t>
      </w:r>
      <w:r>
        <w:rPr>
          <w:rFonts w:ascii="Times New Roman" w:hAnsi="Times New Roman"/>
          <w:sz w:val="24"/>
          <w:szCs w:val="24"/>
          <w:lang w:val="en-GB"/>
        </w:rPr>
        <w:t xml:space="preserve"> of the European Court of Human Rights</w:t>
      </w:r>
      <w:r w:rsidRPr="00813E2C">
        <w:rPr>
          <w:rFonts w:ascii="Times New Roman" w:hAnsi="Times New Roman"/>
          <w:sz w:val="24"/>
          <w:szCs w:val="24"/>
          <w:lang w:val="en-GB"/>
        </w:rPr>
        <w:t>) margin of appreciation doctrine</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12"/>
      </w:r>
      <w:r w:rsidRPr="00813E2C">
        <w:rPr>
          <w:rFonts w:ascii="Times New Roman" w:hAnsi="Times New Roman"/>
          <w:sz w:val="24"/>
          <w:szCs w:val="24"/>
          <w:lang w:val="en-GB"/>
        </w:rPr>
        <w:t xml:space="preserve"> The Court </w:t>
      </w:r>
      <w:r>
        <w:rPr>
          <w:rFonts w:ascii="Times New Roman" w:hAnsi="Times New Roman"/>
          <w:sz w:val="24"/>
          <w:szCs w:val="24"/>
          <w:lang w:val="en-GB"/>
        </w:rPr>
        <w:t xml:space="preserve">of Justice </w:t>
      </w:r>
      <w:r w:rsidRPr="00813E2C">
        <w:rPr>
          <w:rFonts w:ascii="Times New Roman" w:hAnsi="Times New Roman"/>
          <w:sz w:val="24"/>
          <w:szCs w:val="24"/>
          <w:lang w:val="en-GB"/>
        </w:rPr>
        <w:t>acknowledge</w:t>
      </w:r>
      <w:r>
        <w:rPr>
          <w:rFonts w:ascii="Times New Roman" w:hAnsi="Times New Roman"/>
          <w:sz w:val="24"/>
          <w:szCs w:val="24"/>
          <w:lang w:val="en-GB"/>
        </w:rPr>
        <w:t>d</w:t>
      </w:r>
      <w:r w:rsidRPr="00813E2C">
        <w:rPr>
          <w:rFonts w:ascii="Times New Roman" w:hAnsi="Times New Roman"/>
          <w:sz w:val="24"/>
          <w:szCs w:val="24"/>
          <w:lang w:val="en-GB"/>
        </w:rPr>
        <w:t xml:space="preserve"> that </w:t>
      </w:r>
    </w:p>
    <w:p w:rsidR="005E6612" w:rsidRPr="00AF570B" w:rsidRDefault="005E6612" w:rsidP="00AF570B">
      <w:pPr>
        <w:spacing w:line="240" w:lineRule="auto"/>
        <w:ind w:left="708"/>
        <w:jc w:val="both"/>
        <w:rPr>
          <w:rFonts w:ascii="Times New Roman" w:hAnsi="Times New Roman"/>
          <w:iCs/>
          <w:sz w:val="20"/>
          <w:szCs w:val="20"/>
          <w:lang w:val="en-GB"/>
        </w:rPr>
      </w:pPr>
      <w:r w:rsidRPr="00AF570B">
        <w:rPr>
          <w:rFonts w:ascii="Times New Roman" w:hAnsi="Times New Roman"/>
          <w:iCs/>
          <w:sz w:val="20"/>
          <w:szCs w:val="20"/>
          <w:lang w:val="en-GB"/>
        </w:rPr>
        <w:t>depending on the circumstances, the competent national authorities have a certain degree of discretion when adopting measures which they consider to be necessary in order to guarantee public security in a Member State.</w:t>
      </w:r>
      <w:r w:rsidRPr="00AF570B">
        <w:rPr>
          <w:rFonts w:ascii="Times New Roman" w:hAnsi="Times New Roman"/>
          <w:iCs/>
          <w:sz w:val="20"/>
          <w:szCs w:val="20"/>
          <w:vertAlign w:val="superscript"/>
          <w:lang w:val="en-GB"/>
        </w:rPr>
        <w:footnoteReference w:id="113"/>
      </w:r>
      <w:r w:rsidRPr="00AF570B">
        <w:rPr>
          <w:rFonts w:ascii="Times New Roman" w:hAnsi="Times New Roman"/>
          <w:iCs/>
          <w:sz w:val="20"/>
          <w:szCs w:val="20"/>
          <w:lang w:val="en-GB"/>
        </w:rPr>
        <w:t xml:space="preserve"> </w:t>
      </w:r>
    </w:p>
    <w:p w:rsidR="005E6612" w:rsidRDefault="005E6612" w:rsidP="00B27D8E">
      <w:pPr>
        <w:spacing w:line="240" w:lineRule="auto"/>
        <w:jc w:val="both"/>
        <w:rPr>
          <w:rFonts w:ascii="Times New Roman" w:hAnsi="Times New Roman"/>
          <w:sz w:val="24"/>
          <w:szCs w:val="24"/>
          <w:lang w:val="en-GB"/>
        </w:rPr>
      </w:pPr>
      <w:r>
        <w:rPr>
          <w:rFonts w:ascii="Times New Roman" w:hAnsi="Times New Roman"/>
          <w:iCs/>
          <w:sz w:val="24"/>
          <w:szCs w:val="24"/>
          <w:lang w:val="en-GB"/>
        </w:rPr>
        <w:t xml:space="preserve">The Court </w:t>
      </w:r>
      <w:r w:rsidRPr="00813E2C">
        <w:rPr>
          <w:rFonts w:ascii="Times New Roman" w:hAnsi="Times New Roman"/>
          <w:iCs/>
          <w:sz w:val="24"/>
          <w:szCs w:val="24"/>
          <w:lang w:val="en-GB"/>
        </w:rPr>
        <w:t>employ</w:t>
      </w:r>
      <w:r>
        <w:rPr>
          <w:rFonts w:ascii="Times New Roman" w:hAnsi="Times New Roman"/>
          <w:iCs/>
          <w:sz w:val="24"/>
          <w:szCs w:val="24"/>
          <w:lang w:val="en-GB"/>
        </w:rPr>
        <w:t xml:space="preserve">ed </w:t>
      </w:r>
      <w:r w:rsidRPr="00813E2C">
        <w:rPr>
          <w:rFonts w:ascii="Times New Roman" w:hAnsi="Times New Roman"/>
          <w:iCs/>
          <w:sz w:val="24"/>
          <w:szCs w:val="24"/>
          <w:lang w:val="en-GB"/>
        </w:rPr>
        <w:t xml:space="preserve">the concept of </w:t>
      </w:r>
      <w:r w:rsidRPr="00813E2C">
        <w:rPr>
          <w:rFonts w:ascii="Times New Roman" w:hAnsi="Times New Roman"/>
          <w:i/>
          <w:sz w:val="24"/>
          <w:szCs w:val="24"/>
          <w:lang w:val="en-GB"/>
        </w:rPr>
        <w:t xml:space="preserve">marge d'appréciation </w:t>
      </w:r>
      <w:r>
        <w:rPr>
          <w:rFonts w:ascii="Times New Roman" w:hAnsi="Times New Roman"/>
          <w:sz w:val="24"/>
          <w:szCs w:val="24"/>
          <w:lang w:val="en-GB"/>
        </w:rPr>
        <w:t>in order to s</w:t>
      </w:r>
      <w:r w:rsidRPr="00813E2C">
        <w:rPr>
          <w:rFonts w:ascii="Times New Roman" w:hAnsi="Times New Roman"/>
          <w:sz w:val="24"/>
          <w:szCs w:val="24"/>
          <w:lang w:val="en-GB"/>
        </w:rPr>
        <w:t>how respect for the political sovereignty of the Member States in areas such as public policy</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14"/>
      </w:r>
      <w:r w:rsidRPr="00813E2C">
        <w:rPr>
          <w:rFonts w:ascii="Times New Roman" w:hAnsi="Times New Roman"/>
          <w:sz w:val="24"/>
          <w:szCs w:val="24"/>
          <w:lang w:val="en-GB"/>
        </w:rPr>
        <w:t xml:space="preserve"> public morality</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15"/>
      </w:r>
      <w:r w:rsidRPr="00813E2C">
        <w:rPr>
          <w:rFonts w:ascii="Times New Roman" w:hAnsi="Times New Roman"/>
          <w:sz w:val="24"/>
          <w:szCs w:val="24"/>
          <w:lang w:val="en-GB"/>
        </w:rPr>
        <w:t xml:space="preserve"> public health</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16"/>
      </w:r>
      <w:r w:rsidRPr="00813E2C">
        <w:rPr>
          <w:rFonts w:ascii="Times New Roman" w:hAnsi="Times New Roman"/>
          <w:sz w:val="24"/>
          <w:szCs w:val="24"/>
          <w:lang w:val="en-GB"/>
        </w:rPr>
        <w:t xml:space="preserve"> and fundamental rights</w:t>
      </w:r>
      <w:r>
        <w:rPr>
          <w:rFonts w:ascii="Times New Roman" w:hAnsi="Times New Roman"/>
          <w:sz w:val="24"/>
          <w:szCs w:val="24"/>
          <w:lang w:val="en-GB"/>
        </w:rPr>
        <w:t xml:space="preserve"> protection.</w:t>
      </w:r>
      <w:r w:rsidRPr="00813E2C">
        <w:rPr>
          <w:rFonts w:ascii="Times New Roman" w:hAnsi="Times New Roman"/>
          <w:sz w:val="24"/>
          <w:szCs w:val="24"/>
          <w:vertAlign w:val="superscript"/>
          <w:lang w:val="en-GB"/>
        </w:rPr>
        <w:footnoteReference w:id="117"/>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However, the concept of sovereignty as such does not play a decisive role in the legal reasoning of the </w:t>
      </w:r>
      <w:r w:rsidRPr="003D634E">
        <w:rPr>
          <w:rFonts w:ascii="Times New Roman" w:hAnsi="Times New Roman"/>
          <w:sz w:val="24"/>
          <w:szCs w:val="24"/>
          <w:lang w:val="en-GB"/>
        </w:rPr>
        <w:t>Court</w:t>
      </w:r>
      <w:r w:rsidRPr="00813E2C">
        <w:rPr>
          <w:rFonts w:ascii="Times New Roman" w:hAnsi="Times New Roman"/>
          <w:sz w:val="24"/>
          <w:szCs w:val="24"/>
          <w:lang w:val="en-GB"/>
        </w:rPr>
        <w:t xml:space="preserve">, as demonstrated by the fact that we were able to find only three references to this concept in the Sample. This probably depends on the intrinsically polemical nature of the concept: the question </w:t>
      </w:r>
      <w:r>
        <w:rPr>
          <w:rFonts w:ascii="Times New Roman" w:hAnsi="Times New Roman"/>
          <w:sz w:val="24"/>
          <w:szCs w:val="24"/>
          <w:lang w:val="en-GB"/>
        </w:rPr>
        <w:t>‘</w:t>
      </w:r>
      <w:r w:rsidRPr="00813E2C">
        <w:rPr>
          <w:rFonts w:ascii="Times New Roman" w:hAnsi="Times New Roman"/>
          <w:sz w:val="24"/>
          <w:szCs w:val="24"/>
          <w:lang w:val="en-GB"/>
        </w:rPr>
        <w:t>who is (still) sovereign in the EU?</w:t>
      </w:r>
      <w:r>
        <w:rPr>
          <w:rFonts w:ascii="Times New Roman" w:hAnsi="Times New Roman"/>
          <w:sz w:val="24"/>
          <w:szCs w:val="24"/>
          <w:lang w:val="en-GB"/>
        </w:rPr>
        <w:t>’</w:t>
      </w:r>
      <w:r w:rsidRPr="00813E2C">
        <w:rPr>
          <w:rFonts w:ascii="Times New Roman" w:hAnsi="Times New Roman"/>
          <w:sz w:val="24"/>
          <w:szCs w:val="24"/>
          <w:lang w:val="en-GB"/>
        </w:rPr>
        <w:t xml:space="preserve"> has produced a growing body of scholarship, but it is not the kind of question that can be easily addressed and solved </w:t>
      </w:r>
      <w:r w:rsidRPr="00813E2C">
        <w:rPr>
          <w:rFonts w:ascii="Times New Roman" w:hAnsi="Times New Roman"/>
          <w:i/>
          <w:sz w:val="24"/>
          <w:szCs w:val="24"/>
          <w:lang w:val="en-GB"/>
        </w:rPr>
        <w:t>ex cathedra</w:t>
      </w:r>
      <w:r w:rsidRPr="00813E2C">
        <w:rPr>
          <w:rFonts w:ascii="Times New Roman" w:hAnsi="Times New Roman"/>
          <w:sz w:val="24"/>
          <w:szCs w:val="24"/>
          <w:lang w:val="en-GB"/>
        </w:rPr>
        <w:t xml:space="preserve"> within the confines of the legal process. For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to declare the sovereign nature of the Community would be as pointless and counterproductive as declaring the definitive abandonment of Member States’ sovereignty. Declarations of this sort would stir up harsh controversy and </w:t>
      </w:r>
      <w:r>
        <w:rPr>
          <w:rFonts w:ascii="Times New Roman" w:hAnsi="Times New Roman"/>
          <w:sz w:val="24"/>
          <w:szCs w:val="24"/>
          <w:lang w:val="en-GB"/>
        </w:rPr>
        <w:t xml:space="preserve">certainly </w:t>
      </w:r>
      <w:r w:rsidRPr="00813E2C">
        <w:rPr>
          <w:rFonts w:ascii="Times New Roman" w:hAnsi="Times New Roman"/>
          <w:sz w:val="24"/>
          <w:szCs w:val="24"/>
          <w:lang w:val="en-GB"/>
        </w:rPr>
        <w:t xml:space="preserve">could not contribute to the persuasive force of the </w:t>
      </w:r>
      <w:r>
        <w:rPr>
          <w:rFonts w:ascii="Times New Roman" w:hAnsi="Times New Roman"/>
          <w:sz w:val="24"/>
          <w:szCs w:val="24"/>
          <w:lang w:val="en-GB"/>
        </w:rPr>
        <w:t>judgme</w:t>
      </w:r>
      <w:r w:rsidRPr="00813E2C">
        <w:rPr>
          <w:rFonts w:ascii="Times New Roman" w:hAnsi="Times New Roman"/>
          <w:sz w:val="24"/>
          <w:szCs w:val="24"/>
          <w:lang w:val="en-GB"/>
        </w:rPr>
        <w:t>nt.</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Thus, the </w:t>
      </w:r>
      <w:r>
        <w:rPr>
          <w:rFonts w:ascii="Times New Roman" w:hAnsi="Times New Roman"/>
          <w:sz w:val="24"/>
          <w:szCs w:val="24"/>
          <w:lang w:val="en-GB"/>
        </w:rPr>
        <w:t xml:space="preserve">discourse on </w:t>
      </w:r>
      <w:r w:rsidRPr="00813E2C">
        <w:rPr>
          <w:rFonts w:ascii="Times New Roman" w:hAnsi="Times New Roman"/>
          <w:sz w:val="24"/>
          <w:szCs w:val="24"/>
          <w:lang w:val="en-GB"/>
        </w:rPr>
        <w:t xml:space="preserve">the limitation of Member States’ sovereignty appears in a few foundational </w:t>
      </w:r>
      <w:r>
        <w:rPr>
          <w:rFonts w:ascii="Times New Roman" w:hAnsi="Times New Roman"/>
          <w:sz w:val="24"/>
          <w:szCs w:val="24"/>
          <w:lang w:val="en-GB"/>
        </w:rPr>
        <w:t>judgme</w:t>
      </w:r>
      <w:r w:rsidRPr="00813E2C">
        <w:rPr>
          <w:rFonts w:ascii="Times New Roman" w:hAnsi="Times New Roman"/>
          <w:sz w:val="24"/>
          <w:szCs w:val="24"/>
          <w:lang w:val="en-GB"/>
        </w:rPr>
        <w:t>nts of the 1960s and early 1970s</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18"/>
      </w:r>
      <w:r w:rsidRPr="00813E2C">
        <w:rPr>
          <w:rFonts w:ascii="Times New Roman" w:hAnsi="Times New Roman"/>
          <w:sz w:val="24"/>
          <w:szCs w:val="24"/>
          <w:lang w:val="en-GB"/>
        </w:rPr>
        <w:t xml:space="preserve"> and soon tends to disappear from the case law of the </w:t>
      </w:r>
      <w:r w:rsidRPr="003D634E">
        <w:rPr>
          <w:rFonts w:ascii="Times New Roman" w:hAnsi="Times New Roman"/>
          <w:sz w:val="24"/>
          <w:szCs w:val="24"/>
          <w:lang w:val="en-GB"/>
        </w:rPr>
        <w:t>Court</w:t>
      </w:r>
      <w:r w:rsidRPr="00813E2C">
        <w:rPr>
          <w:rFonts w:ascii="Times New Roman" w:hAnsi="Times New Roman"/>
          <w:sz w:val="24"/>
          <w:szCs w:val="24"/>
          <w:lang w:val="en-GB"/>
        </w:rPr>
        <w:t xml:space="preserve">. In the Sample we found it solely in </w:t>
      </w:r>
      <w:r w:rsidRPr="00813E2C">
        <w:rPr>
          <w:rFonts w:ascii="Times New Roman" w:hAnsi="Times New Roman"/>
          <w:i/>
          <w:sz w:val="24"/>
          <w:szCs w:val="24"/>
          <w:lang w:val="en-GB"/>
        </w:rPr>
        <w:t xml:space="preserve">Van Gend en Loos </w:t>
      </w:r>
      <w:r w:rsidRPr="00813E2C">
        <w:rPr>
          <w:rFonts w:ascii="Times New Roman" w:hAnsi="Times New Roman"/>
          <w:sz w:val="24"/>
          <w:szCs w:val="24"/>
          <w:lang w:val="en-GB"/>
        </w:rPr>
        <w:t xml:space="preserve">(1963), in </w:t>
      </w:r>
      <w:r w:rsidRPr="00813E2C">
        <w:rPr>
          <w:rFonts w:ascii="Times New Roman" w:hAnsi="Times New Roman"/>
          <w:i/>
          <w:sz w:val="24"/>
          <w:szCs w:val="24"/>
          <w:lang w:val="en-GB"/>
        </w:rPr>
        <w:t>Costa</w:t>
      </w:r>
      <w:r w:rsidRPr="00813E2C">
        <w:rPr>
          <w:rFonts w:ascii="Times New Roman" w:hAnsi="Times New Roman"/>
          <w:sz w:val="24"/>
          <w:szCs w:val="24"/>
          <w:lang w:val="en-GB"/>
        </w:rPr>
        <w:t xml:space="preserve"> (1964) and in Opinion 1/91 on the i</w:t>
      </w:r>
      <w:r w:rsidRPr="00813E2C">
        <w:rPr>
          <w:rFonts w:ascii="Times New Roman" w:hAnsi="Times New Roman"/>
          <w:bCs/>
          <w:sz w:val="24"/>
          <w:szCs w:val="24"/>
          <w:lang w:val="en-GB"/>
        </w:rPr>
        <w:t xml:space="preserve">ncompatibility with </w:t>
      </w:r>
      <w:r>
        <w:rPr>
          <w:rFonts w:ascii="Times New Roman" w:hAnsi="Times New Roman"/>
          <w:bCs/>
          <w:sz w:val="24"/>
          <w:szCs w:val="24"/>
          <w:lang w:val="en-GB"/>
        </w:rPr>
        <w:t>Community</w:t>
      </w:r>
      <w:r w:rsidRPr="00813E2C">
        <w:rPr>
          <w:rFonts w:ascii="Times New Roman" w:hAnsi="Times New Roman"/>
          <w:bCs/>
          <w:sz w:val="24"/>
          <w:szCs w:val="24"/>
          <w:lang w:val="en-GB"/>
        </w:rPr>
        <w:t xml:space="preserve"> law of the EEA: </w:t>
      </w:r>
      <w:r>
        <w:rPr>
          <w:rFonts w:ascii="Times New Roman" w:hAnsi="Times New Roman"/>
          <w:sz w:val="24"/>
          <w:szCs w:val="24"/>
          <w:lang w:val="en-GB"/>
        </w:rPr>
        <w:t>‘</w:t>
      </w:r>
      <w:r w:rsidRPr="00813E2C">
        <w:rPr>
          <w:rFonts w:ascii="Times New Roman" w:hAnsi="Times New Roman"/>
          <w:sz w:val="24"/>
          <w:szCs w:val="24"/>
          <w:lang w:val="en-GB"/>
        </w:rPr>
        <w:t>the Community constitutes a new legal order of international law for the benefit of which the states have limited their sovereign rights</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19"/>
      </w:r>
      <w:r w:rsidRPr="00813E2C">
        <w:rPr>
          <w:rFonts w:ascii="Times New Roman" w:hAnsi="Times New Roman"/>
          <w:sz w:val="24"/>
          <w:szCs w:val="24"/>
          <w:lang w:val="en-GB"/>
        </w:rPr>
        <w:t xml:space="preserve"> Even in these </w:t>
      </w:r>
      <w:r>
        <w:rPr>
          <w:rFonts w:ascii="Times New Roman" w:hAnsi="Times New Roman"/>
          <w:sz w:val="24"/>
          <w:szCs w:val="24"/>
          <w:lang w:val="en-GB"/>
        </w:rPr>
        <w:t>judgme</w:t>
      </w:r>
      <w:r w:rsidRPr="00813E2C">
        <w:rPr>
          <w:rFonts w:ascii="Times New Roman" w:hAnsi="Times New Roman"/>
          <w:sz w:val="24"/>
          <w:szCs w:val="24"/>
          <w:lang w:val="en-GB"/>
        </w:rPr>
        <w:t xml:space="preserve">nts, </w:t>
      </w:r>
      <w:r>
        <w:rPr>
          <w:rFonts w:ascii="Times New Roman" w:hAnsi="Times New Roman"/>
          <w:sz w:val="24"/>
          <w:szCs w:val="24"/>
          <w:lang w:val="en-GB"/>
        </w:rPr>
        <w:t xml:space="preserve">however, </w:t>
      </w:r>
      <w:r w:rsidRPr="00813E2C">
        <w:rPr>
          <w:rFonts w:ascii="Times New Roman" w:hAnsi="Times New Roman"/>
          <w:sz w:val="24"/>
          <w:szCs w:val="24"/>
          <w:lang w:val="en-GB"/>
        </w:rPr>
        <w:t xml:space="preserve">it </w:t>
      </w:r>
      <w:r>
        <w:rPr>
          <w:rFonts w:ascii="Times New Roman" w:hAnsi="Times New Roman"/>
          <w:sz w:val="24"/>
          <w:szCs w:val="24"/>
          <w:lang w:val="en-GB"/>
        </w:rPr>
        <w:t xml:space="preserve">is </w:t>
      </w:r>
      <w:r w:rsidRPr="00813E2C">
        <w:rPr>
          <w:rFonts w:ascii="Times New Roman" w:hAnsi="Times New Roman"/>
          <w:sz w:val="24"/>
          <w:szCs w:val="24"/>
          <w:lang w:val="en-GB"/>
        </w:rPr>
        <w:t xml:space="preserve">clear that the </w:t>
      </w:r>
      <w:r w:rsidRPr="003D634E">
        <w:rPr>
          <w:rFonts w:ascii="Times New Roman" w:hAnsi="Times New Roman"/>
          <w:sz w:val="24"/>
          <w:szCs w:val="24"/>
          <w:lang w:val="en-GB"/>
        </w:rPr>
        <w:t xml:space="preserve">Court </w:t>
      </w:r>
      <w:r w:rsidRPr="00813E2C">
        <w:rPr>
          <w:rFonts w:ascii="Times New Roman" w:hAnsi="Times New Roman"/>
          <w:sz w:val="24"/>
          <w:szCs w:val="24"/>
          <w:lang w:val="en-GB"/>
        </w:rPr>
        <w:t xml:space="preserve">is using the word </w:t>
      </w:r>
      <w:r>
        <w:rPr>
          <w:rFonts w:ascii="Times New Roman" w:hAnsi="Times New Roman"/>
          <w:sz w:val="24"/>
          <w:szCs w:val="24"/>
          <w:lang w:val="en-GB"/>
        </w:rPr>
        <w:t>‘</w:t>
      </w:r>
      <w:r w:rsidRPr="00813E2C">
        <w:rPr>
          <w:rFonts w:ascii="Times New Roman" w:hAnsi="Times New Roman"/>
          <w:sz w:val="24"/>
          <w:szCs w:val="24"/>
          <w:lang w:val="en-GB"/>
        </w:rPr>
        <w:t>sovereignty</w:t>
      </w:r>
      <w:r>
        <w:rPr>
          <w:rFonts w:ascii="Times New Roman" w:hAnsi="Times New Roman"/>
          <w:sz w:val="24"/>
          <w:szCs w:val="24"/>
          <w:lang w:val="en-GB"/>
        </w:rPr>
        <w:t>’</w:t>
      </w:r>
      <w:r w:rsidRPr="00813E2C">
        <w:rPr>
          <w:rFonts w:ascii="Times New Roman" w:hAnsi="Times New Roman"/>
          <w:sz w:val="24"/>
          <w:szCs w:val="24"/>
          <w:lang w:val="en-GB"/>
        </w:rPr>
        <w:t xml:space="preserve"> in quite a broad and generic sense, as synonymous with a bundle of competences and powers that the States are free to limit and transfer to the Community.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When the Court intended to establish the principle that </w:t>
      </w:r>
      <w:r>
        <w:rPr>
          <w:rFonts w:ascii="Times New Roman" w:hAnsi="Times New Roman"/>
          <w:sz w:val="24"/>
          <w:szCs w:val="24"/>
          <w:lang w:val="en-GB"/>
        </w:rPr>
        <w:t xml:space="preserve">Community law </w:t>
      </w:r>
      <w:r w:rsidRPr="00813E2C">
        <w:rPr>
          <w:rFonts w:ascii="Times New Roman" w:hAnsi="Times New Roman"/>
          <w:sz w:val="24"/>
          <w:szCs w:val="24"/>
          <w:lang w:val="en-GB"/>
        </w:rPr>
        <w:t xml:space="preserve">does not derive its binding force from the law of the Member States and is not subordinate to their constitutions and statutes – which can be called the legal concept of sovereignty, as opposed to the political concept – </w:t>
      </w:r>
      <w:r>
        <w:rPr>
          <w:rFonts w:ascii="Times New Roman" w:hAnsi="Times New Roman"/>
          <w:sz w:val="24"/>
          <w:szCs w:val="24"/>
          <w:lang w:val="en-GB"/>
        </w:rPr>
        <w:t>it</w:t>
      </w:r>
      <w:r w:rsidRPr="00813E2C">
        <w:rPr>
          <w:rFonts w:ascii="Times New Roman" w:hAnsi="Times New Roman"/>
          <w:sz w:val="24"/>
          <w:szCs w:val="24"/>
          <w:lang w:val="en-GB"/>
        </w:rPr>
        <w:t xml:space="preserve"> reasoned in terms of </w:t>
      </w:r>
      <w:r w:rsidRPr="00813E2C">
        <w:rPr>
          <w:rFonts w:ascii="Times New Roman" w:hAnsi="Times New Roman"/>
          <w:i/>
          <w:sz w:val="24"/>
          <w:szCs w:val="24"/>
          <w:lang w:val="en-GB"/>
        </w:rPr>
        <w:t>primauté</w:t>
      </w:r>
      <w:r w:rsidRPr="00813E2C">
        <w:rPr>
          <w:rFonts w:ascii="Times New Roman" w:hAnsi="Times New Roman"/>
          <w:sz w:val="24"/>
          <w:szCs w:val="24"/>
          <w:lang w:val="en-GB"/>
        </w:rPr>
        <w:t xml:space="preserve"> (primacy, supremacy) of </w:t>
      </w:r>
      <w:r>
        <w:rPr>
          <w:rFonts w:ascii="Times New Roman" w:hAnsi="Times New Roman"/>
          <w:sz w:val="24"/>
          <w:szCs w:val="24"/>
          <w:lang w:val="en-GB"/>
        </w:rPr>
        <w:t xml:space="preserve">Community </w:t>
      </w:r>
      <w:r w:rsidRPr="00813E2C">
        <w:rPr>
          <w:rFonts w:ascii="Times New Roman" w:hAnsi="Times New Roman"/>
          <w:sz w:val="24"/>
          <w:szCs w:val="24"/>
          <w:lang w:val="en-GB"/>
        </w:rPr>
        <w:t xml:space="preserve">law and autonomy of the </w:t>
      </w:r>
      <w:r>
        <w:rPr>
          <w:rFonts w:ascii="Times New Roman" w:hAnsi="Times New Roman"/>
          <w:sz w:val="24"/>
          <w:szCs w:val="24"/>
          <w:lang w:val="en-GB"/>
        </w:rPr>
        <w:t xml:space="preserve">Community </w:t>
      </w:r>
      <w:r w:rsidRPr="00813E2C">
        <w:rPr>
          <w:rFonts w:ascii="Times New Roman" w:hAnsi="Times New Roman"/>
          <w:sz w:val="24"/>
          <w:szCs w:val="24"/>
          <w:lang w:val="en-GB"/>
        </w:rPr>
        <w:t xml:space="preserve">legal order, and carefully avoided the lexicon of sovereignty. Therefore, we have considered these concepts as being corollaries of the concept of rule of law (see below) rather than </w:t>
      </w:r>
      <w:r w:rsidRPr="00813E2C">
        <w:rPr>
          <w:rFonts w:ascii="Times New Roman" w:hAnsi="Times New Roman"/>
          <w:sz w:val="24"/>
          <w:szCs w:val="24"/>
          <w:lang w:val="en-GB"/>
        </w:rPr>
        <w:lastRenderedPageBreak/>
        <w:t xml:space="preserve">instances of the concept of sovereignty: maintaining that </w:t>
      </w:r>
      <w:r w:rsidRPr="00813E2C">
        <w:rPr>
          <w:rFonts w:ascii="Times New Roman" w:hAnsi="Times New Roman"/>
          <w:i/>
          <w:iCs/>
          <w:sz w:val="24"/>
          <w:szCs w:val="24"/>
          <w:lang w:val="en-GB"/>
        </w:rPr>
        <w:t xml:space="preserve">Kadi </w:t>
      </w:r>
      <w:r w:rsidRPr="00813E2C">
        <w:rPr>
          <w:rFonts w:ascii="Times New Roman" w:hAnsi="Times New Roman"/>
          <w:sz w:val="24"/>
          <w:szCs w:val="24"/>
          <w:lang w:val="en-GB"/>
        </w:rPr>
        <w:t xml:space="preserve">revolves around the sovereignty of the EU would </w:t>
      </w:r>
      <w:r>
        <w:rPr>
          <w:rFonts w:ascii="Times New Roman" w:hAnsi="Times New Roman"/>
          <w:sz w:val="24"/>
          <w:szCs w:val="24"/>
          <w:lang w:val="en-GB"/>
        </w:rPr>
        <w:t>be</w:t>
      </w:r>
      <w:r w:rsidRPr="00813E2C">
        <w:rPr>
          <w:rFonts w:ascii="Times New Roman" w:hAnsi="Times New Roman"/>
          <w:sz w:val="24"/>
          <w:szCs w:val="24"/>
          <w:lang w:val="en-GB"/>
        </w:rPr>
        <w:t xml:space="preserve"> overly emphatic, bizarre and confusing, while it is fair to say that the issue at stake under the label of </w:t>
      </w:r>
      <w:r>
        <w:rPr>
          <w:rFonts w:ascii="Times New Roman" w:hAnsi="Times New Roman"/>
          <w:sz w:val="24"/>
          <w:szCs w:val="24"/>
          <w:lang w:val="en-GB"/>
        </w:rPr>
        <w:t>‘</w:t>
      </w:r>
      <w:r w:rsidRPr="00813E2C">
        <w:rPr>
          <w:rFonts w:ascii="Times New Roman" w:hAnsi="Times New Roman"/>
          <w:sz w:val="24"/>
          <w:szCs w:val="24"/>
          <w:lang w:val="en-GB"/>
        </w:rPr>
        <w:t>autonomy of Community law</w:t>
      </w:r>
      <w:r>
        <w:rPr>
          <w:rFonts w:ascii="Times New Roman" w:hAnsi="Times New Roman"/>
          <w:sz w:val="24"/>
          <w:szCs w:val="24"/>
          <w:lang w:val="en-GB"/>
        </w:rPr>
        <w:t>’</w:t>
      </w:r>
      <w:r w:rsidRPr="00813E2C">
        <w:rPr>
          <w:rFonts w:ascii="Times New Roman" w:hAnsi="Times New Roman"/>
          <w:sz w:val="24"/>
          <w:szCs w:val="24"/>
          <w:lang w:val="en-GB"/>
        </w:rPr>
        <w:t xml:space="preserve"> was the respect for the rule of law.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Similar considerations</w:t>
      </w:r>
      <w:r>
        <w:rPr>
          <w:rFonts w:ascii="Times New Roman" w:hAnsi="Times New Roman"/>
          <w:sz w:val="24"/>
          <w:szCs w:val="24"/>
          <w:lang w:val="en-GB"/>
        </w:rPr>
        <w:t xml:space="preserve"> </w:t>
      </w:r>
      <w:r w:rsidRPr="00813E2C">
        <w:rPr>
          <w:rFonts w:ascii="Times New Roman" w:hAnsi="Times New Roman"/>
          <w:sz w:val="24"/>
          <w:szCs w:val="24"/>
          <w:lang w:val="en-GB"/>
        </w:rPr>
        <w:t xml:space="preserve">apply to the concept of nation and to the characteristically European neologism of </w:t>
      </w:r>
      <w:r>
        <w:rPr>
          <w:rFonts w:ascii="Times New Roman" w:hAnsi="Times New Roman"/>
          <w:sz w:val="24"/>
          <w:szCs w:val="24"/>
          <w:lang w:val="en-GB"/>
        </w:rPr>
        <w:t>‘</w:t>
      </w:r>
      <w:r w:rsidRPr="00813E2C">
        <w:rPr>
          <w:rFonts w:ascii="Times New Roman" w:hAnsi="Times New Roman"/>
          <w:sz w:val="24"/>
          <w:szCs w:val="24"/>
          <w:lang w:val="en-GB"/>
        </w:rPr>
        <w:t>supranational</w:t>
      </w:r>
      <w:r>
        <w:rPr>
          <w:rFonts w:ascii="Times New Roman" w:hAnsi="Times New Roman"/>
          <w:sz w:val="24"/>
          <w:szCs w:val="24"/>
          <w:lang w:val="en-GB"/>
        </w:rPr>
        <w:t>’</w:t>
      </w:r>
      <w:r w:rsidRPr="00813E2C">
        <w:rPr>
          <w:rFonts w:ascii="Times New Roman" w:hAnsi="Times New Roman"/>
          <w:sz w:val="24"/>
          <w:szCs w:val="24"/>
          <w:lang w:val="en-GB"/>
        </w:rPr>
        <w:t xml:space="preserve">. Given their potentially divisive nature, these concepts are not frequently used in the legal reasoning of the </w:t>
      </w:r>
      <w:r w:rsidRPr="003D634E">
        <w:rPr>
          <w:rFonts w:ascii="Times New Roman" w:hAnsi="Times New Roman"/>
          <w:sz w:val="24"/>
          <w:szCs w:val="24"/>
          <w:lang w:val="en-GB"/>
        </w:rPr>
        <w:t>Court</w:t>
      </w:r>
      <w:r>
        <w:rPr>
          <w:rStyle w:val="Rimandonotaapidipagina"/>
          <w:rFonts w:ascii="Times New Roman" w:hAnsi="Times New Roman"/>
          <w:sz w:val="24"/>
          <w:szCs w:val="24"/>
          <w:lang w:val="en-GB"/>
        </w:rPr>
        <w:footnoteReference w:id="120"/>
      </w:r>
      <w:r w:rsidRPr="00813E2C">
        <w:rPr>
          <w:rFonts w:ascii="Times New Roman" w:hAnsi="Times New Roman"/>
          <w:sz w:val="24"/>
          <w:szCs w:val="24"/>
          <w:lang w:val="en-GB"/>
        </w:rPr>
        <w:t xml:space="preserve">. They </w:t>
      </w:r>
      <w:r>
        <w:rPr>
          <w:rFonts w:ascii="Times New Roman" w:hAnsi="Times New Roman"/>
          <w:sz w:val="24"/>
          <w:szCs w:val="24"/>
          <w:lang w:val="en-GB"/>
        </w:rPr>
        <w:t>are</w:t>
      </w:r>
      <w:r w:rsidRPr="00813E2C">
        <w:rPr>
          <w:rFonts w:ascii="Times New Roman" w:hAnsi="Times New Roman"/>
          <w:sz w:val="24"/>
          <w:szCs w:val="24"/>
          <w:lang w:val="en-GB"/>
        </w:rPr>
        <w:t xml:space="preserve"> </w:t>
      </w:r>
      <w:r>
        <w:rPr>
          <w:rFonts w:ascii="Times New Roman" w:hAnsi="Times New Roman"/>
          <w:sz w:val="24"/>
          <w:szCs w:val="24"/>
          <w:lang w:val="en-GB"/>
        </w:rPr>
        <w:t>not</w:t>
      </w:r>
      <w:r w:rsidRPr="00813E2C">
        <w:rPr>
          <w:rFonts w:ascii="Times New Roman" w:hAnsi="Times New Roman"/>
          <w:sz w:val="24"/>
          <w:szCs w:val="24"/>
          <w:lang w:val="en-GB"/>
        </w:rPr>
        <w:t xml:space="preserve"> mentioned in the </w:t>
      </w:r>
      <w:r>
        <w:rPr>
          <w:rFonts w:ascii="Times New Roman" w:hAnsi="Times New Roman"/>
          <w:sz w:val="24"/>
          <w:szCs w:val="24"/>
          <w:lang w:val="en-GB"/>
        </w:rPr>
        <w:t>judgme</w:t>
      </w:r>
      <w:r w:rsidRPr="00813E2C">
        <w:rPr>
          <w:rFonts w:ascii="Times New Roman" w:hAnsi="Times New Roman"/>
          <w:sz w:val="24"/>
          <w:szCs w:val="24"/>
          <w:lang w:val="en-GB"/>
        </w:rPr>
        <w:t>nts analysed in the research</w:t>
      </w:r>
      <w:r>
        <w:rPr>
          <w:rFonts w:ascii="Times New Roman" w:hAnsi="Times New Roman"/>
          <w:sz w:val="24"/>
          <w:szCs w:val="24"/>
          <w:lang w:val="en-GB"/>
        </w:rPr>
        <w:t>,</w:t>
      </w:r>
      <w:r w:rsidRPr="00813E2C">
        <w:rPr>
          <w:rFonts w:ascii="Times New Roman" w:hAnsi="Times New Roman"/>
          <w:sz w:val="24"/>
          <w:szCs w:val="24"/>
          <w:lang w:val="en-GB"/>
        </w:rPr>
        <w:t xml:space="preserve"> with the </w:t>
      </w:r>
      <w:r>
        <w:rPr>
          <w:rFonts w:ascii="Times New Roman" w:hAnsi="Times New Roman"/>
          <w:sz w:val="24"/>
          <w:szCs w:val="24"/>
          <w:lang w:val="en-GB"/>
        </w:rPr>
        <w:t xml:space="preserve">sole </w:t>
      </w:r>
      <w:r w:rsidRPr="00813E2C">
        <w:rPr>
          <w:rFonts w:ascii="Times New Roman" w:hAnsi="Times New Roman"/>
          <w:sz w:val="24"/>
          <w:szCs w:val="24"/>
          <w:lang w:val="en-GB"/>
        </w:rPr>
        <w:t xml:space="preserve">exception of </w:t>
      </w:r>
      <w:r w:rsidRPr="00813E2C">
        <w:rPr>
          <w:rFonts w:ascii="Times New Roman" w:hAnsi="Times New Roman"/>
          <w:i/>
          <w:iCs/>
          <w:sz w:val="24"/>
          <w:szCs w:val="24"/>
          <w:lang w:val="en-GB"/>
        </w:rPr>
        <w:t xml:space="preserve">Bosman </w:t>
      </w:r>
      <w:r w:rsidRPr="00813E2C">
        <w:rPr>
          <w:rFonts w:ascii="Times New Roman" w:hAnsi="Times New Roman"/>
          <w:iCs/>
          <w:sz w:val="24"/>
          <w:szCs w:val="24"/>
          <w:lang w:val="en-GB"/>
        </w:rPr>
        <w:t>(1995)</w:t>
      </w:r>
      <w:r>
        <w:rPr>
          <w:rFonts w:ascii="Times New Roman" w:hAnsi="Times New Roman"/>
          <w:iCs/>
          <w:sz w:val="24"/>
          <w:szCs w:val="24"/>
          <w:lang w:val="en-GB"/>
        </w:rPr>
        <w:t xml:space="preserve">, in which the Court </w:t>
      </w:r>
      <w:r w:rsidRPr="00813E2C">
        <w:rPr>
          <w:rFonts w:ascii="Times New Roman" w:hAnsi="Times New Roman"/>
          <w:sz w:val="24"/>
          <w:szCs w:val="24"/>
          <w:lang w:val="en-GB"/>
        </w:rPr>
        <w:t>dismiss</w:t>
      </w:r>
      <w:r>
        <w:rPr>
          <w:rFonts w:ascii="Times New Roman" w:hAnsi="Times New Roman"/>
          <w:sz w:val="24"/>
          <w:szCs w:val="24"/>
          <w:lang w:val="en-GB"/>
        </w:rPr>
        <w:t>es</w:t>
      </w:r>
      <w:r w:rsidRPr="00813E2C">
        <w:rPr>
          <w:rFonts w:ascii="Times New Roman" w:hAnsi="Times New Roman"/>
          <w:sz w:val="24"/>
          <w:szCs w:val="24"/>
          <w:lang w:val="en-GB"/>
        </w:rPr>
        <w:t xml:space="preserve"> the argument that the </w:t>
      </w:r>
      <w:r>
        <w:rPr>
          <w:rFonts w:ascii="Times New Roman" w:hAnsi="Times New Roman"/>
          <w:sz w:val="24"/>
          <w:szCs w:val="24"/>
          <w:lang w:val="en-GB"/>
        </w:rPr>
        <w:t>‘</w:t>
      </w:r>
      <w:r w:rsidRPr="00813E2C">
        <w:rPr>
          <w:rFonts w:ascii="Times New Roman" w:hAnsi="Times New Roman"/>
          <w:iCs/>
          <w:sz w:val="24"/>
          <w:szCs w:val="24"/>
          <w:lang w:val="en-GB"/>
        </w:rPr>
        <w:t>nationality clauses</w:t>
      </w:r>
      <w:r>
        <w:rPr>
          <w:rFonts w:ascii="Times New Roman" w:hAnsi="Times New Roman"/>
          <w:iCs/>
          <w:sz w:val="24"/>
          <w:szCs w:val="24"/>
          <w:lang w:val="en-GB"/>
        </w:rPr>
        <w:t>’</w:t>
      </w:r>
      <w:r w:rsidRPr="00813E2C">
        <w:rPr>
          <w:rFonts w:ascii="Times New Roman" w:hAnsi="Times New Roman"/>
          <w:iCs/>
          <w:sz w:val="24"/>
          <w:szCs w:val="24"/>
          <w:lang w:val="en-GB"/>
        </w:rPr>
        <w:t xml:space="preserve"> (rules restricting the extent to which foreign players can be fielded in a match) </w:t>
      </w:r>
      <w:r>
        <w:rPr>
          <w:rFonts w:ascii="Times New Roman" w:hAnsi="Times New Roman"/>
          <w:iCs/>
          <w:sz w:val="24"/>
          <w:szCs w:val="24"/>
          <w:lang w:val="en-GB"/>
        </w:rPr>
        <w:t>are</w:t>
      </w:r>
      <w:r w:rsidRPr="00813E2C">
        <w:rPr>
          <w:rFonts w:ascii="Times New Roman" w:hAnsi="Times New Roman"/>
          <w:iCs/>
          <w:sz w:val="24"/>
          <w:szCs w:val="24"/>
          <w:lang w:val="en-GB"/>
        </w:rPr>
        <w:t xml:space="preserve"> justified on non-economic grounds</w:t>
      </w:r>
      <w:r>
        <w:rPr>
          <w:rFonts w:ascii="Times New Roman" w:hAnsi="Times New Roman"/>
          <w:iCs/>
          <w:sz w:val="24"/>
          <w:szCs w:val="24"/>
          <w:lang w:val="en-GB"/>
        </w:rPr>
        <w:t xml:space="preserve"> by arguing that there is </w:t>
      </w:r>
      <w:r w:rsidRPr="00813E2C">
        <w:rPr>
          <w:rFonts w:ascii="Times New Roman" w:hAnsi="Times New Roman"/>
          <w:iCs/>
          <w:sz w:val="24"/>
          <w:szCs w:val="24"/>
          <w:lang w:val="en-GB"/>
        </w:rPr>
        <w:t>nothing qualitatively distinct about the kind of belongingness conveyed by the concept of nationality</w:t>
      </w:r>
      <w:r>
        <w:rPr>
          <w:rFonts w:ascii="Times New Roman" w:hAnsi="Times New Roman"/>
          <w:iCs/>
          <w:sz w:val="24"/>
          <w:szCs w:val="24"/>
          <w:lang w:val="en-GB"/>
        </w:rPr>
        <w:t xml:space="preserve"> in comparison with other kinds of links, such as locality, town and</w:t>
      </w:r>
      <w:r w:rsidRPr="00813E2C">
        <w:rPr>
          <w:rFonts w:ascii="Times New Roman" w:hAnsi="Times New Roman"/>
          <w:iCs/>
          <w:sz w:val="24"/>
          <w:szCs w:val="24"/>
          <w:lang w:val="en-GB"/>
        </w:rPr>
        <w:t xml:space="preserve"> region</w:t>
      </w:r>
      <w:r>
        <w:rPr>
          <w:rFonts w:ascii="Times New Roman" w:hAnsi="Times New Roman"/>
          <w:iCs/>
          <w:sz w:val="24"/>
          <w:szCs w:val="24"/>
          <w:lang w:val="en-GB"/>
        </w:rPr>
        <w:t>.</w:t>
      </w:r>
      <w:r w:rsidRPr="00813E2C">
        <w:rPr>
          <w:rStyle w:val="Rimandonotaapidipagina"/>
          <w:rFonts w:ascii="Times New Roman" w:hAnsi="Times New Roman"/>
          <w:iCs/>
          <w:sz w:val="24"/>
          <w:szCs w:val="24"/>
          <w:lang w:val="en-GB"/>
        </w:rPr>
        <w:footnoteReference w:id="121"/>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It can be argued that the kind of reasons expressed by the concept of nation are already partially conveyed by the above-mentioned notion of margin of appreciation and by other tools that allow the Court to show deference for national values and identities. Sometimes the Court accepts that principles of national constitutional law provide a sufficient ground for the restriction of fundamental freedoms under EU law but it usually avoids making reference to the concept of national </w:t>
      </w:r>
      <w:r>
        <w:rPr>
          <w:rFonts w:ascii="Times New Roman" w:hAnsi="Times New Roman"/>
          <w:sz w:val="24"/>
          <w:szCs w:val="24"/>
          <w:lang w:val="en-GB"/>
        </w:rPr>
        <w:t xml:space="preserve">constitutional </w:t>
      </w:r>
      <w:r w:rsidRPr="00813E2C">
        <w:rPr>
          <w:rFonts w:ascii="Times New Roman" w:hAnsi="Times New Roman"/>
          <w:sz w:val="24"/>
          <w:szCs w:val="24"/>
          <w:lang w:val="en-GB"/>
        </w:rPr>
        <w:t xml:space="preserve">identity as justification. The Court has acknowledged that </w:t>
      </w:r>
      <w:r>
        <w:rPr>
          <w:rFonts w:ascii="Times New Roman" w:hAnsi="Times New Roman"/>
          <w:sz w:val="24"/>
          <w:szCs w:val="24"/>
          <w:lang w:val="en-GB"/>
        </w:rPr>
        <w:t>‘</w:t>
      </w:r>
      <w:r w:rsidRPr="00813E2C">
        <w:rPr>
          <w:rFonts w:ascii="Times New Roman" w:hAnsi="Times New Roman"/>
          <w:sz w:val="24"/>
          <w:szCs w:val="24"/>
          <w:lang w:val="en-GB"/>
        </w:rPr>
        <w:t>the preservation of the Member States’ national identities is a legitimate aim respected by the Community legal order</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22"/>
      </w:r>
      <w:r w:rsidRPr="00813E2C">
        <w:rPr>
          <w:rFonts w:ascii="Times New Roman" w:hAnsi="Times New Roman"/>
          <w:sz w:val="24"/>
          <w:szCs w:val="24"/>
          <w:lang w:val="en-GB"/>
        </w:rPr>
        <w:t xml:space="preserve"> but it has made reference to that concept only in a few occasions and always in passing</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23"/>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bCs/>
          <w:iCs/>
          <w:sz w:val="24"/>
          <w:szCs w:val="24"/>
          <w:shd w:val="clear" w:color="auto" w:fill="FFFFFF"/>
          <w:lang w:val="en-GB"/>
        </w:rPr>
      </w:pPr>
      <w:r w:rsidRPr="00813E2C">
        <w:rPr>
          <w:rFonts w:ascii="Times New Roman" w:hAnsi="Times New Roman"/>
          <w:bCs/>
          <w:iCs/>
          <w:sz w:val="24"/>
          <w:szCs w:val="24"/>
          <w:shd w:val="clear" w:color="auto" w:fill="FFFFFF"/>
          <w:lang w:val="en-GB"/>
        </w:rPr>
        <w:t xml:space="preserve">3. </w:t>
      </w:r>
      <w:r w:rsidRPr="00813E2C">
        <w:rPr>
          <w:rFonts w:ascii="Times New Roman" w:hAnsi="Times New Roman"/>
          <w:bCs/>
          <w:i/>
          <w:iCs/>
          <w:sz w:val="24"/>
          <w:szCs w:val="24"/>
          <w:shd w:val="clear" w:color="auto" w:fill="FFFFFF"/>
          <w:lang w:val="en-GB"/>
        </w:rPr>
        <w:t>Substantive legal principles</w:t>
      </w:r>
      <w:r>
        <w:rPr>
          <w:rFonts w:ascii="Times New Roman" w:hAnsi="Times New Roman"/>
          <w:bCs/>
          <w:i/>
          <w:iCs/>
          <w:sz w:val="24"/>
          <w:szCs w:val="24"/>
          <w:shd w:val="clear" w:color="auto" w:fill="FFFFFF"/>
          <w:lang w:val="en-GB"/>
        </w:rPr>
        <w:t>,</w:t>
      </w:r>
      <w:r w:rsidRPr="00813E2C">
        <w:rPr>
          <w:rFonts w:ascii="Times New Roman" w:hAnsi="Times New Roman"/>
          <w:bCs/>
          <w:i/>
          <w:iCs/>
          <w:sz w:val="24"/>
          <w:szCs w:val="24"/>
          <w:shd w:val="clear" w:color="auto" w:fill="FFFFFF"/>
          <w:lang w:val="en-GB"/>
        </w:rPr>
        <w:t xml:space="preserve"> fundamental rights, equality and basic procedural rights</w:t>
      </w:r>
    </w:p>
    <w:p w:rsidR="005E6612" w:rsidRPr="00813E2C" w:rsidRDefault="005E6612" w:rsidP="00B27D8E">
      <w:pPr>
        <w:spacing w:line="240" w:lineRule="auto"/>
        <w:jc w:val="both"/>
        <w:rPr>
          <w:rFonts w:ascii="Times New Roman" w:hAnsi="Times New Roman"/>
          <w:bCs/>
          <w:iCs/>
          <w:sz w:val="24"/>
          <w:szCs w:val="24"/>
          <w:shd w:val="clear" w:color="auto" w:fill="FFFFFF"/>
          <w:lang w:val="en-GB"/>
        </w:rPr>
      </w:pPr>
      <w:r w:rsidRPr="00813E2C">
        <w:rPr>
          <w:rFonts w:ascii="Times New Roman" w:hAnsi="Times New Roman"/>
          <w:bCs/>
          <w:iCs/>
          <w:sz w:val="24"/>
          <w:szCs w:val="24"/>
          <w:shd w:val="clear" w:color="auto" w:fill="FFFFFF"/>
          <w:lang w:val="en-GB"/>
        </w:rPr>
        <w:t xml:space="preserve">We </w:t>
      </w:r>
      <w:r w:rsidRPr="00BE0D21">
        <w:rPr>
          <w:rFonts w:ascii="Times New Roman" w:hAnsi="Times New Roman"/>
          <w:bCs/>
          <w:iCs/>
          <w:sz w:val="24"/>
          <w:szCs w:val="24"/>
          <w:shd w:val="clear" w:color="auto" w:fill="FFFFFF"/>
          <w:lang w:val="en-GB"/>
        </w:rPr>
        <w:t xml:space="preserve">found no reference to the concepts of secularism in the Sample. </w:t>
      </w:r>
      <w:r w:rsidRPr="00A405F4">
        <w:rPr>
          <w:rFonts w:ascii="Times New Roman" w:hAnsi="Times New Roman"/>
          <w:bCs/>
          <w:iCs/>
          <w:sz w:val="24"/>
          <w:szCs w:val="24"/>
          <w:shd w:val="clear" w:color="auto" w:fill="FFFFFF"/>
          <w:lang w:val="en-GB"/>
        </w:rPr>
        <w:t xml:space="preserve">The right to respect for family life, which can be considered an aspect of the right to privacy, </w:t>
      </w:r>
      <w:r>
        <w:rPr>
          <w:rFonts w:ascii="Times New Roman" w:hAnsi="Times New Roman"/>
          <w:bCs/>
          <w:iCs/>
          <w:sz w:val="24"/>
          <w:szCs w:val="24"/>
          <w:shd w:val="clear" w:color="auto" w:fill="FFFFFF"/>
          <w:lang w:val="en-GB"/>
        </w:rPr>
        <w:t>is</w:t>
      </w:r>
      <w:r w:rsidRPr="00A405F4">
        <w:rPr>
          <w:rFonts w:ascii="Times New Roman" w:hAnsi="Times New Roman"/>
          <w:bCs/>
          <w:iCs/>
          <w:sz w:val="24"/>
          <w:szCs w:val="24"/>
          <w:shd w:val="clear" w:color="auto" w:fill="FFFFFF"/>
          <w:lang w:val="en-GB"/>
        </w:rPr>
        <w:t xml:space="preserve"> relevant in </w:t>
      </w:r>
      <w:r w:rsidRPr="00A405F4">
        <w:rPr>
          <w:rFonts w:ascii="Times New Roman" w:hAnsi="Times New Roman"/>
          <w:bCs/>
          <w:i/>
          <w:iCs/>
          <w:sz w:val="24"/>
          <w:szCs w:val="24"/>
          <w:shd w:val="clear" w:color="auto" w:fill="FFFFFF"/>
          <w:lang w:val="en-GB"/>
        </w:rPr>
        <w:t>Carpenter</w:t>
      </w:r>
      <w:r w:rsidRPr="00A405F4">
        <w:rPr>
          <w:rFonts w:ascii="Times New Roman" w:hAnsi="Times New Roman"/>
          <w:bCs/>
          <w:iCs/>
          <w:sz w:val="24"/>
          <w:szCs w:val="24"/>
          <w:shd w:val="clear" w:color="auto" w:fill="FFFFFF"/>
          <w:lang w:val="en-GB"/>
        </w:rPr>
        <w:t xml:space="preserve"> (2002), and the concept of human dignity </w:t>
      </w:r>
      <w:r>
        <w:rPr>
          <w:rFonts w:ascii="Times New Roman" w:hAnsi="Times New Roman"/>
          <w:bCs/>
          <w:iCs/>
          <w:sz w:val="24"/>
          <w:szCs w:val="24"/>
          <w:shd w:val="clear" w:color="auto" w:fill="FFFFFF"/>
          <w:lang w:val="en-GB"/>
        </w:rPr>
        <w:t>is</w:t>
      </w:r>
      <w:r w:rsidRPr="00A405F4">
        <w:rPr>
          <w:rFonts w:ascii="Times New Roman" w:hAnsi="Times New Roman"/>
          <w:bCs/>
          <w:iCs/>
          <w:sz w:val="24"/>
          <w:szCs w:val="24"/>
          <w:shd w:val="clear" w:color="auto" w:fill="FFFFFF"/>
          <w:lang w:val="en-GB"/>
        </w:rPr>
        <w:t xml:space="preserve"> crucial in </w:t>
      </w:r>
      <w:r w:rsidRPr="00A405F4">
        <w:rPr>
          <w:rFonts w:ascii="Times New Roman" w:hAnsi="Times New Roman"/>
          <w:bCs/>
          <w:i/>
          <w:iCs/>
          <w:sz w:val="24"/>
          <w:szCs w:val="24"/>
          <w:shd w:val="clear" w:color="auto" w:fill="FFFFFF"/>
          <w:lang w:val="en-GB"/>
        </w:rPr>
        <w:t>Omega</w:t>
      </w:r>
      <w:r w:rsidRPr="00A405F4">
        <w:rPr>
          <w:rFonts w:ascii="Times New Roman" w:hAnsi="Times New Roman"/>
          <w:bCs/>
          <w:iCs/>
          <w:sz w:val="24"/>
          <w:szCs w:val="24"/>
          <w:shd w:val="clear" w:color="auto" w:fill="FFFFFF"/>
          <w:lang w:val="en-GB"/>
        </w:rPr>
        <w:t xml:space="preserve"> (2004).</w:t>
      </w:r>
      <w:r>
        <w:rPr>
          <w:rFonts w:ascii="Times New Roman" w:hAnsi="Times New Roman"/>
          <w:bCs/>
          <w:iCs/>
          <w:sz w:val="24"/>
          <w:szCs w:val="24"/>
          <w:shd w:val="clear" w:color="auto" w:fill="FFFFFF"/>
          <w:lang w:val="en-GB"/>
        </w:rPr>
        <w:t xml:space="preserve"> Moreover, we found two other i</w:t>
      </w:r>
      <w:r w:rsidRPr="00813E2C">
        <w:rPr>
          <w:rFonts w:ascii="Times New Roman" w:hAnsi="Times New Roman"/>
          <w:bCs/>
          <w:iCs/>
          <w:sz w:val="24"/>
          <w:szCs w:val="24"/>
          <w:shd w:val="clear" w:color="auto" w:fill="FFFFFF"/>
          <w:lang w:val="en-GB"/>
        </w:rPr>
        <w:t xml:space="preserve">n passing references to the concept of human dignity which both </w:t>
      </w:r>
      <w:r>
        <w:rPr>
          <w:rFonts w:ascii="Times New Roman" w:hAnsi="Times New Roman"/>
          <w:bCs/>
          <w:iCs/>
          <w:sz w:val="24"/>
          <w:szCs w:val="24"/>
          <w:shd w:val="clear" w:color="auto" w:fill="FFFFFF"/>
          <w:lang w:val="en-GB"/>
        </w:rPr>
        <w:t>are</w:t>
      </w:r>
      <w:r w:rsidRPr="00813E2C">
        <w:rPr>
          <w:rFonts w:ascii="Times New Roman" w:hAnsi="Times New Roman"/>
          <w:bCs/>
          <w:iCs/>
          <w:sz w:val="24"/>
          <w:szCs w:val="24"/>
          <w:shd w:val="clear" w:color="auto" w:fill="FFFFFF"/>
          <w:lang w:val="en-GB"/>
        </w:rPr>
        <w:t xml:space="preserve"> immaterial for the case</w:t>
      </w:r>
      <w:r>
        <w:rPr>
          <w:rFonts w:ascii="Times New Roman" w:hAnsi="Times New Roman"/>
          <w:bCs/>
          <w:iCs/>
          <w:sz w:val="24"/>
          <w:szCs w:val="24"/>
          <w:shd w:val="clear" w:color="auto" w:fill="FFFFFF"/>
          <w:lang w:val="en-GB"/>
        </w:rPr>
        <w:t>,</w:t>
      </w:r>
      <w:r w:rsidRPr="00813E2C">
        <w:rPr>
          <w:rStyle w:val="Rimandonotaapidipagina"/>
          <w:rFonts w:ascii="Times New Roman" w:hAnsi="Times New Roman"/>
          <w:bCs/>
          <w:iCs/>
          <w:sz w:val="24"/>
          <w:szCs w:val="24"/>
          <w:shd w:val="clear" w:color="auto" w:fill="FFFFFF"/>
          <w:lang w:val="en-GB"/>
        </w:rPr>
        <w:footnoteReference w:id="124"/>
      </w:r>
      <w:r>
        <w:rPr>
          <w:rFonts w:ascii="Times New Roman" w:hAnsi="Times New Roman"/>
          <w:bCs/>
          <w:iCs/>
          <w:sz w:val="24"/>
          <w:szCs w:val="24"/>
          <w:shd w:val="clear" w:color="auto" w:fill="FFFFFF"/>
          <w:lang w:val="en-GB"/>
        </w:rPr>
        <w:t xml:space="preserve"> and</w:t>
      </w:r>
      <w:r w:rsidRPr="00813E2C">
        <w:rPr>
          <w:rFonts w:ascii="Times New Roman" w:hAnsi="Times New Roman"/>
          <w:bCs/>
          <w:iCs/>
          <w:sz w:val="24"/>
          <w:szCs w:val="24"/>
          <w:shd w:val="clear" w:color="auto" w:fill="FFFFFF"/>
          <w:lang w:val="en-GB"/>
        </w:rPr>
        <w:t xml:space="preserve"> </w:t>
      </w:r>
      <w:r w:rsidRPr="00A405F4">
        <w:rPr>
          <w:rFonts w:ascii="Times New Roman" w:hAnsi="Times New Roman"/>
          <w:bCs/>
          <w:iCs/>
          <w:sz w:val="24"/>
          <w:szCs w:val="24"/>
          <w:shd w:val="clear" w:color="auto" w:fill="FFFFFF"/>
          <w:lang w:val="en-GB"/>
        </w:rPr>
        <w:t>f</w:t>
      </w:r>
      <w:r>
        <w:rPr>
          <w:rFonts w:ascii="Times New Roman" w:hAnsi="Times New Roman"/>
          <w:bCs/>
          <w:iCs/>
          <w:sz w:val="24"/>
          <w:szCs w:val="24"/>
          <w:shd w:val="clear" w:color="auto" w:fill="FFFFFF"/>
          <w:lang w:val="en-GB"/>
        </w:rPr>
        <w:t>our</w:t>
      </w:r>
      <w:r w:rsidRPr="00A405F4">
        <w:rPr>
          <w:rFonts w:ascii="Times New Roman" w:hAnsi="Times New Roman"/>
          <w:bCs/>
          <w:iCs/>
          <w:sz w:val="24"/>
          <w:szCs w:val="24"/>
          <w:shd w:val="clear" w:color="auto" w:fill="FFFFFF"/>
          <w:lang w:val="en-GB"/>
        </w:rPr>
        <w:t xml:space="preserve"> references to freedom of expression. Of these f</w:t>
      </w:r>
      <w:r>
        <w:rPr>
          <w:rFonts w:ascii="Times New Roman" w:hAnsi="Times New Roman"/>
          <w:bCs/>
          <w:iCs/>
          <w:sz w:val="24"/>
          <w:szCs w:val="24"/>
          <w:shd w:val="clear" w:color="auto" w:fill="FFFFFF"/>
          <w:lang w:val="en-GB"/>
        </w:rPr>
        <w:t xml:space="preserve">our </w:t>
      </w:r>
      <w:r w:rsidRPr="00A405F4">
        <w:rPr>
          <w:rFonts w:ascii="Times New Roman" w:hAnsi="Times New Roman"/>
          <w:bCs/>
          <w:iCs/>
          <w:sz w:val="24"/>
          <w:szCs w:val="24"/>
          <w:shd w:val="clear" w:color="auto" w:fill="FFFFFF"/>
          <w:lang w:val="en-GB"/>
        </w:rPr>
        <w:t xml:space="preserve">references, </w:t>
      </w:r>
      <w:r>
        <w:rPr>
          <w:rFonts w:ascii="Times New Roman" w:hAnsi="Times New Roman"/>
          <w:bCs/>
          <w:iCs/>
          <w:sz w:val="24"/>
          <w:szCs w:val="24"/>
          <w:shd w:val="clear" w:color="auto" w:fill="FFFFFF"/>
          <w:lang w:val="en-GB"/>
        </w:rPr>
        <w:t>one</w:t>
      </w:r>
      <w:r w:rsidRPr="00A405F4">
        <w:rPr>
          <w:rFonts w:ascii="Times New Roman" w:hAnsi="Times New Roman"/>
          <w:bCs/>
          <w:iCs/>
          <w:sz w:val="24"/>
          <w:szCs w:val="24"/>
          <w:shd w:val="clear" w:color="auto" w:fill="FFFFFF"/>
          <w:lang w:val="en-GB"/>
        </w:rPr>
        <w:t xml:space="preserve"> </w:t>
      </w:r>
      <w:r>
        <w:rPr>
          <w:rFonts w:ascii="Times New Roman" w:hAnsi="Times New Roman"/>
          <w:bCs/>
          <w:iCs/>
          <w:sz w:val="24"/>
          <w:szCs w:val="24"/>
          <w:shd w:val="clear" w:color="auto" w:fill="FFFFFF"/>
          <w:lang w:val="en-GB"/>
        </w:rPr>
        <w:t>is a</w:t>
      </w:r>
      <w:r w:rsidRPr="00A405F4">
        <w:rPr>
          <w:rFonts w:ascii="Times New Roman" w:hAnsi="Times New Roman"/>
          <w:bCs/>
          <w:iCs/>
          <w:sz w:val="24"/>
          <w:szCs w:val="24"/>
          <w:shd w:val="clear" w:color="auto" w:fill="FFFFFF"/>
          <w:lang w:val="en-GB"/>
        </w:rPr>
        <w:t xml:space="preserve"> mere </w:t>
      </w:r>
      <w:r w:rsidRPr="00A405F4">
        <w:rPr>
          <w:rFonts w:ascii="Times New Roman" w:hAnsi="Times New Roman"/>
          <w:bCs/>
          <w:i/>
          <w:iCs/>
          <w:sz w:val="24"/>
          <w:szCs w:val="24"/>
          <w:shd w:val="clear" w:color="auto" w:fill="FFFFFF"/>
          <w:lang w:val="en-GB"/>
        </w:rPr>
        <w:t>obiter dict</w:t>
      </w:r>
      <w:r>
        <w:rPr>
          <w:rFonts w:ascii="Times New Roman" w:hAnsi="Times New Roman"/>
          <w:bCs/>
          <w:i/>
          <w:iCs/>
          <w:sz w:val="24"/>
          <w:szCs w:val="24"/>
          <w:shd w:val="clear" w:color="auto" w:fill="FFFFFF"/>
          <w:lang w:val="en-GB"/>
        </w:rPr>
        <w:t>um</w:t>
      </w:r>
      <w:r w:rsidRPr="00A405F4">
        <w:rPr>
          <w:rStyle w:val="Rimandonotaapidipagina"/>
          <w:rFonts w:ascii="Times New Roman" w:hAnsi="Times New Roman"/>
          <w:bCs/>
          <w:iCs/>
          <w:sz w:val="24"/>
          <w:szCs w:val="24"/>
          <w:shd w:val="clear" w:color="auto" w:fill="FFFFFF"/>
          <w:lang w:val="en-GB"/>
        </w:rPr>
        <w:footnoteReference w:id="125"/>
      </w:r>
      <w:r w:rsidRPr="00A405F4">
        <w:rPr>
          <w:rFonts w:ascii="Times New Roman" w:hAnsi="Times New Roman"/>
          <w:bCs/>
          <w:iCs/>
          <w:sz w:val="24"/>
          <w:szCs w:val="24"/>
          <w:shd w:val="clear" w:color="auto" w:fill="FFFFFF"/>
          <w:lang w:val="en-GB"/>
        </w:rPr>
        <w:t xml:space="preserve">, two </w:t>
      </w:r>
      <w:r>
        <w:rPr>
          <w:rFonts w:ascii="Times New Roman" w:hAnsi="Times New Roman"/>
          <w:bCs/>
          <w:iCs/>
          <w:sz w:val="24"/>
          <w:szCs w:val="24"/>
          <w:shd w:val="clear" w:color="auto" w:fill="FFFFFF"/>
          <w:lang w:val="en-GB"/>
        </w:rPr>
        <w:t xml:space="preserve">are </w:t>
      </w:r>
      <w:r w:rsidRPr="00813E2C">
        <w:rPr>
          <w:rFonts w:ascii="Times New Roman" w:hAnsi="Times New Roman"/>
          <w:bCs/>
          <w:iCs/>
          <w:sz w:val="24"/>
          <w:szCs w:val="24"/>
          <w:shd w:val="clear" w:color="auto" w:fill="FFFFFF"/>
          <w:lang w:val="en-GB"/>
        </w:rPr>
        <w:t>substantive and relevant for the case</w:t>
      </w:r>
      <w:r>
        <w:rPr>
          <w:rFonts w:ascii="Times New Roman" w:hAnsi="Times New Roman"/>
          <w:bCs/>
          <w:iCs/>
          <w:sz w:val="24"/>
          <w:szCs w:val="24"/>
          <w:shd w:val="clear" w:color="auto" w:fill="FFFFFF"/>
          <w:lang w:val="en-GB"/>
        </w:rPr>
        <w:t>,</w:t>
      </w:r>
      <w:r w:rsidRPr="00813E2C">
        <w:rPr>
          <w:rStyle w:val="Rimandonotaapidipagina"/>
          <w:rFonts w:ascii="Times New Roman" w:hAnsi="Times New Roman"/>
          <w:bCs/>
          <w:iCs/>
          <w:sz w:val="24"/>
          <w:szCs w:val="24"/>
          <w:shd w:val="clear" w:color="auto" w:fill="FFFFFF"/>
          <w:lang w:val="en-GB"/>
        </w:rPr>
        <w:footnoteReference w:id="126"/>
      </w:r>
      <w:r w:rsidRPr="00813E2C">
        <w:rPr>
          <w:rFonts w:ascii="Times New Roman" w:hAnsi="Times New Roman"/>
          <w:bCs/>
          <w:iCs/>
          <w:sz w:val="24"/>
          <w:szCs w:val="24"/>
          <w:shd w:val="clear" w:color="auto" w:fill="FFFFFF"/>
          <w:lang w:val="en-GB"/>
        </w:rPr>
        <w:t xml:space="preserve"> and the last one </w:t>
      </w:r>
      <w:r>
        <w:rPr>
          <w:rFonts w:ascii="Times New Roman" w:hAnsi="Times New Roman"/>
          <w:bCs/>
          <w:iCs/>
          <w:sz w:val="24"/>
          <w:szCs w:val="24"/>
          <w:shd w:val="clear" w:color="auto" w:fill="FFFFFF"/>
          <w:lang w:val="en-GB"/>
        </w:rPr>
        <w:t>is</w:t>
      </w:r>
      <w:r w:rsidRPr="00813E2C">
        <w:rPr>
          <w:rFonts w:ascii="Times New Roman" w:hAnsi="Times New Roman"/>
          <w:bCs/>
          <w:iCs/>
          <w:sz w:val="24"/>
          <w:szCs w:val="24"/>
          <w:shd w:val="clear" w:color="auto" w:fill="FFFFFF"/>
          <w:lang w:val="en-GB"/>
        </w:rPr>
        <w:t xml:space="preserve"> relevant because it allow</w:t>
      </w:r>
      <w:r>
        <w:rPr>
          <w:rFonts w:ascii="Times New Roman" w:hAnsi="Times New Roman"/>
          <w:bCs/>
          <w:iCs/>
          <w:sz w:val="24"/>
          <w:szCs w:val="24"/>
          <w:shd w:val="clear" w:color="auto" w:fill="FFFFFF"/>
          <w:lang w:val="en-GB"/>
        </w:rPr>
        <w:t xml:space="preserve">s </w:t>
      </w:r>
      <w:r w:rsidRPr="00813E2C">
        <w:rPr>
          <w:rFonts w:ascii="Times New Roman" w:hAnsi="Times New Roman"/>
          <w:bCs/>
          <w:iCs/>
          <w:sz w:val="24"/>
          <w:szCs w:val="24"/>
          <w:shd w:val="clear" w:color="auto" w:fill="FFFFFF"/>
          <w:lang w:val="en-GB"/>
        </w:rPr>
        <w:t xml:space="preserve">the Court to discharge the case by holding that it </w:t>
      </w:r>
      <w:r>
        <w:rPr>
          <w:rFonts w:ascii="Times New Roman" w:hAnsi="Times New Roman"/>
          <w:bCs/>
          <w:iCs/>
          <w:sz w:val="24"/>
          <w:szCs w:val="24"/>
          <w:shd w:val="clear" w:color="auto" w:fill="FFFFFF"/>
          <w:lang w:val="en-GB"/>
        </w:rPr>
        <w:t>is</w:t>
      </w:r>
      <w:r w:rsidRPr="00813E2C">
        <w:rPr>
          <w:rFonts w:ascii="Times New Roman" w:hAnsi="Times New Roman"/>
          <w:bCs/>
          <w:iCs/>
          <w:sz w:val="24"/>
          <w:szCs w:val="24"/>
          <w:shd w:val="clear" w:color="auto" w:fill="FFFFFF"/>
          <w:lang w:val="en-GB"/>
        </w:rPr>
        <w:t xml:space="preserve"> outside the scope of the Treaty and relat</w:t>
      </w:r>
      <w:r>
        <w:rPr>
          <w:rFonts w:ascii="Times New Roman" w:hAnsi="Times New Roman"/>
          <w:bCs/>
          <w:iCs/>
          <w:sz w:val="24"/>
          <w:szCs w:val="24"/>
          <w:shd w:val="clear" w:color="auto" w:fill="FFFFFF"/>
          <w:lang w:val="en-GB"/>
        </w:rPr>
        <w:t xml:space="preserve">es </w:t>
      </w:r>
      <w:r w:rsidRPr="00813E2C">
        <w:rPr>
          <w:rFonts w:ascii="Times New Roman" w:hAnsi="Times New Roman"/>
          <w:bCs/>
          <w:iCs/>
          <w:sz w:val="24"/>
          <w:szCs w:val="24"/>
          <w:shd w:val="clear" w:color="auto" w:fill="FFFFFF"/>
          <w:lang w:val="en-GB"/>
        </w:rPr>
        <w:t>exclusively to principles of domestic constitutional law</w:t>
      </w:r>
      <w:r>
        <w:rPr>
          <w:rFonts w:ascii="Times New Roman" w:hAnsi="Times New Roman"/>
          <w:bCs/>
          <w:iCs/>
          <w:sz w:val="24"/>
          <w:szCs w:val="24"/>
          <w:shd w:val="clear" w:color="auto" w:fill="FFFFFF"/>
          <w:lang w:val="en-GB"/>
        </w:rPr>
        <w:t>.</w:t>
      </w:r>
      <w:r w:rsidRPr="00813E2C">
        <w:rPr>
          <w:rStyle w:val="Rimandonotaapidipagina"/>
          <w:rFonts w:ascii="Times New Roman" w:hAnsi="Times New Roman"/>
          <w:bCs/>
          <w:iCs/>
          <w:sz w:val="24"/>
          <w:szCs w:val="24"/>
          <w:shd w:val="clear" w:color="auto" w:fill="FFFFFF"/>
          <w:lang w:val="en-GB"/>
        </w:rPr>
        <w:footnoteReference w:id="127"/>
      </w:r>
    </w:p>
    <w:p w:rsidR="005E6612" w:rsidRPr="00813E2C" w:rsidRDefault="005E6612" w:rsidP="00B27D8E">
      <w:pPr>
        <w:spacing w:line="240" w:lineRule="auto"/>
        <w:jc w:val="both"/>
        <w:rPr>
          <w:rFonts w:ascii="Times New Roman" w:hAnsi="Times New Roman"/>
          <w:bCs/>
          <w:iCs/>
          <w:sz w:val="24"/>
          <w:szCs w:val="24"/>
          <w:shd w:val="clear" w:color="auto" w:fill="FFFFFF"/>
          <w:lang w:val="en-GB"/>
        </w:rPr>
      </w:pPr>
      <w:r w:rsidRPr="00813E2C">
        <w:rPr>
          <w:rFonts w:ascii="Times New Roman" w:hAnsi="Times New Roman"/>
          <w:bCs/>
          <w:iCs/>
          <w:sz w:val="24"/>
          <w:szCs w:val="24"/>
          <w:shd w:val="clear" w:color="auto" w:fill="FFFFFF"/>
          <w:lang w:val="en-GB"/>
        </w:rPr>
        <w:t xml:space="preserve">References to the principle of equality and to basic procedural rights such as the right to judicial review, the right to a fair trial, the rights of the defence and the principle of the legality of criminal offences and penalties </w:t>
      </w:r>
      <w:r>
        <w:rPr>
          <w:rFonts w:ascii="Times New Roman" w:hAnsi="Times New Roman"/>
          <w:bCs/>
          <w:iCs/>
          <w:sz w:val="24"/>
          <w:szCs w:val="24"/>
          <w:shd w:val="clear" w:color="auto" w:fill="FFFFFF"/>
          <w:lang w:val="en-GB"/>
        </w:rPr>
        <w:t>are</w:t>
      </w:r>
      <w:r w:rsidRPr="00813E2C">
        <w:rPr>
          <w:rFonts w:ascii="Times New Roman" w:hAnsi="Times New Roman"/>
          <w:bCs/>
          <w:iCs/>
          <w:sz w:val="24"/>
          <w:szCs w:val="24"/>
          <w:shd w:val="clear" w:color="auto" w:fill="FFFFFF"/>
          <w:lang w:val="en-GB"/>
        </w:rPr>
        <w:t xml:space="preserve"> much more common in the Sample (1</w:t>
      </w:r>
      <w:r>
        <w:rPr>
          <w:rFonts w:ascii="Times New Roman" w:hAnsi="Times New Roman"/>
          <w:bCs/>
          <w:iCs/>
          <w:sz w:val="24"/>
          <w:szCs w:val="24"/>
          <w:shd w:val="clear" w:color="auto" w:fill="FFFFFF"/>
          <w:lang w:val="en-GB"/>
        </w:rPr>
        <w:t>0</w:t>
      </w:r>
      <w:r w:rsidRPr="00813E2C">
        <w:rPr>
          <w:rFonts w:ascii="Times New Roman" w:hAnsi="Times New Roman"/>
          <w:bCs/>
          <w:iCs/>
          <w:sz w:val="24"/>
          <w:szCs w:val="24"/>
          <w:shd w:val="clear" w:color="auto" w:fill="FFFFFF"/>
          <w:lang w:val="en-GB"/>
        </w:rPr>
        <w:t xml:space="preserve"> and </w:t>
      </w:r>
      <w:r>
        <w:rPr>
          <w:rFonts w:ascii="Times New Roman" w:hAnsi="Times New Roman"/>
          <w:bCs/>
          <w:iCs/>
          <w:sz w:val="24"/>
          <w:szCs w:val="24"/>
          <w:shd w:val="clear" w:color="auto" w:fill="FFFFFF"/>
          <w:lang w:val="en-GB"/>
        </w:rPr>
        <w:t xml:space="preserve">5 </w:t>
      </w:r>
      <w:r w:rsidRPr="00813E2C">
        <w:rPr>
          <w:rFonts w:ascii="Times New Roman" w:hAnsi="Times New Roman"/>
          <w:bCs/>
          <w:iCs/>
          <w:sz w:val="24"/>
          <w:szCs w:val="24"/>
          <w:shd w:val="clear" w:color="auto" w:fill="FFFFFF"/>
          <w:lang w:val="en-GB"/>
        </w:rPr>
        <w:t xml:space="preserve">respectively). In some cases these </w:t>
      </w:r>
      <w:r>
        <w:rPr>
          <w:rFonts w:ascii="Times New Roman" w:hAnsi="Times New Roman"/>
          <w:bCs/>
          <w:iCs/>
          <w:sz w:val="24"/>
          <w:szCs w:val="24"/>
          <w:shd w:val="clear" w:color="auto" w:fill="FFFFFF"/>
          <w:lang w:val="en-GB"/>
        </w:rPr>
        <w:t>are</w:t>
      </w:r>
      <w:r w:rsidRPr="00813E2C">
        <w:rPr>
          <w:rFonts w:ascii="Times New Roman" w:hAnsi="Times New Roman"/>
          <w:bCs/>
          <w:iCs/>
          <w:sz w:val="24"/>
          <w:szCs w:val="24"/>
          <w:shd w:val="clear" w:color="auto" w:fill="FFFFFF"/>
          <w:lang w:val="en-GB"/>
        </w:rPr>
        <w:t xml:space="preserve"> the main substantive principles, or one of the main substantive principles, that the ruling of the Court </w:t>
      </w:r>
      <w:r>
        <w:rPr>
          <w:rFonts w:ascii="Times New Roman" w:hAnsi="Times New Roman"/>
          <w:bCs/>
          <w:iCs/>
          <w:sz w:val="24"/>
          <w:szCs w:val="24"/>
          <w:shd w:val="clear" w:color="auto" w:fill="FFFFFF"/>
          <w:lang w:val="en-GB"/>
        </w:rPr>
        <w:t>takes</w:t>
      </w:r>
      <w:r w:rsidRPr="00813E2C">
        <w:rPr>
          <w:rFonts w:ascii="Times New Roman" w:hAnsi="Times New Roman"/>
          <w:bCs/>
          <w:iCs/>
          <w:sz w:val="24"/>
          <w:szCs w:val="24"/>
          <w:shd w:val="clear" w:color="auto" w:fill="FFFFFF"/>
          <w:lang w:val="en-GB"/>
        </w:rPr>
        <w:t xml:space="preserve"> into consideration: they ha</w:t>
      </w:r>
      <w:r>
        <w:rPr>
          <w:rFonts w:ascii="Times New Roman" w:hAnsi="Times New Roman"/>
          <w:bCs/>
          <w:iCs/>
          <w:sz w:val="24"/>
          <w:szCs w:val="24"/>
          <w:shd w:val="clear" w:color="auto" w:fill="FFFFFF"/>
          <w:lang w:val="en-GB"/>
        </w:rPr>
        <w:t>ve</w:t>
      </w:r>
      <w:r w:rsidRPr="00813E2C">
        <w:rPr>
          <w:rFonts w:ascii="Times New Roman" w:hAnsi="Times New Roman"/>
          <w:bCs/>
          <w:iCs/>
          <w:sz w:val="24"/>
          <w:szCs w:val="24"/>
          <w:shd w:val="clear" w:color="auto" w:fill="FFFFFF"/>
          <w:lang w:val="en-GB"/>
        </w:rPr>
        <w:t xml:space="preserve"> immediate operative force on the </w:t>
      </w:r>
      <w:r>
        <w:rPr>
          <w:rFonts w:ascii="Times New Roman" w:hAnsi="Times New Roman"/>
          <w:bCs/>
          <w:iCs/>
          <w:sz w:val="24"/>
          <w:szCs w:val="24"/>
          <w:shd w:val="clear" w:color="auto" w:fill="FFFFFF"/>
          <w:lang w:val="en-GB"/>
        </w:rPr>
        <w:t>judgme</w:t>
      </w:r>
      <w:r w:rsidRPr="00813E2C">
        <w:rPr>
          <w:rFonts w:ascii="Times New Roman" w:hAnsi="Times New Roman"/>
          <w:bCs/>
          <w:iCs/>
          <w:sz w:val="24"/>
          <w:szCs w:val="24"/>
          <w:shd w:val="clear" w:color="auto" w:fill="FFFFFF"/>
          <w:lang w:val="en-GB"/>
        </w:rPr>
        <w:t xml:space="preserve">nt and </w:t>
      </w:r>
      <w:r>
        <w:rPr>
          <w:rFonts w:ascii="Times New Roman" w:hAnsi="Times New Roman"/>
          <w:bCs/>
          <w:iCs/>
          <w:sz w:val="24"/>
          <w:szCs w:val="24"/>
          <w:shd w:val="clear" w:color="auto" w:fill="FFFFFF"/>
          <w:lang w:val="en-GB"/>
        </w:rPr>
        <w:t>are</w:t>
      </w:r>
      <w:r w:rsidRPr="00813E2C">
        <w:rPr>
          <w:rFonts w:ascii="Times New Roman" w:hAnsi="Times New Roman"/>
          <w:bCs/>
          <w:iCs/>
          <w:sz w:val="24"/>
          <w:szCs w:val="24"/>
          <w:shd w:val="clear" w:color="auto" w:fill="FFFFFF"/>
          <w:lang w:val="en-GB"/>
        </w:rPr>
        <w:t xml:space="preserve"> </w:t>
      </w:r>
      <w:r w:rsidRPr="00813E2C">
        <w:rPr>
          <w:rFonts w:ascii="Times New Roman" w:hAnsi="Times New Roman"/>
          <w:bCs/>
          <w:iCs/>
          <w:sz w:val="24"/>
          <w:szCs w:val="24"/>
          <w:shd w:val="clear" w:color="auto" w:fill="FFFFFF"/>
          <w:lang w:val="en-GB"/>
        </w:rPr>
        <w:lastRenderedPageBreak/>
        <w:t>employed, or at least could be employed, in order to guarantee some fundamental individual liberty</w:t>
      </w:r>
      <w:r>
        <w:rPr>
          <w:rFonts w:ascii="Times New Roman" w:hAnsi="Times New Roman"/>
          <w:bCs/>
          <w:iCs/>
          <w:sz w:val="24"/>
          <w:szCs w:val="24"/>
          <w:shd w:val="clear" w:color="auto" w:fill="FFFFFF"/>
          <w:lang w:val="en-GB"/>
        </w:rPr>
        <w:t>.</w:t>
      </w:r>
      <w:r w:rsidRPr="00813E2C">
        <w:rPr>
          <w:rStyle w:val="Rimandonotaapidipagina"/>
          <w:rFonts w:ascii="Times New Roman" w:hAnsi="Times New Roman"/>
          <w:bCs/>
          <w:iCs/>
          <w:sz w:val="24"/>
          <w:szCs w:val="24"/>
          <w:shd w:val="clear" w:color="auto" w:fill="FFFFFF"/>
          <w:lang w:val="en-GB"/>
        </w:rPr>
        <w:footnoteReference w:id="128"/>
      </w:r>
      <w:r w:rsidRPr="00813E2C">
        <w:rPr>
          <w:rFonts w:ascii="Times New Roman" w:hAnsi="Times New Roman"/>
          <w:bCs/>
          <w:iCs/>
          <w:sz w:val="24"/>
          <w:szCs w:val="24"/>
          <w:shd w:val="clear" w:color="auto" w:fill="FFFFFF"/>
          <w:lang w:val="en-GB"/>
        </w:rPr>
        <w:t xml:space="preserve"> In other cases, however, the principle of non-discrimination and the procedural rights (in particular, the need to guarantee effective judicial protection) </w:t>
      </w:r>
      <w:r>
        <w:rPr>
          <w:rFonts w:ascii="Times New Roman" w:hAnsi="Times New Roman"/>
          <w:bCs/>
          <w:iCs/>
          <w:sz w:val="24"/>
          <w:szCs w:val="24"/>
          <w:shd w:val="clear" w:color="auto" w:fill="FFFFFF"/>
          <w:lang w:val="en-GB"/>
        </w:rPr>
        <w:t>are</w:t>
      </w:r>
      <w:r w:rsidRPr="00813E2C">
        <w:rPr>
          <w:rFonts w:ascii="Times New Roman" w:hAnsi="Times New Roman"/>
          <w:bCs/>
          <w:iCs/>
          <w:sz w:val="24"/>
          <w:szCs w:val="24"/>
          <w:shd w:val="clear" w:color="auto" w:fill="FFFFFF"/>
          <w:lang w:val="en-GB"/>
        </w:rPr>
        <w:t xml:space="preserve"> used by the Court first and foremost for affirming not individual rights but certain structural principles of </w:t>
      </w:r>
      <w:r>
        <w:rPr>
          <w:rFonts w:ascii="Times New Roman" w:hAnsi="Times New Roman"/>
          <w:bCs/>
          <w:iCs/>
          <w:sz w:val="24"/>
          <w:szCs w:val="24"/>
          <w:shd w:val="clear" w:color="auto" w:fill="FFFFFF"/>
          <w:lang w:val="en-GB"/>
        </w:rPr>
        <w:t xml:space="preserve">Community </w:t>
      </w:r>
      <w:r w:rsidRPr="00813E2C">
        <w:rPr>
          <w:rFonts w:ascii="Times New Roman" w:hAnsi="Times New Roman"/>
          <w:bCs/>
          <w:iCs/>
          <w:sz w:val="24"/>
          <w:szCs w:val="24"/>
          <w:shd w:val="clear" w:color="auto" w:fill="FFFFFF"/>
          <w:lang w:val="en-GB"/>
        </w:rPr>
        <w:t>law such as direct effect and supremacy</w:t>
      </w:r>
      <w:r>
        <w:rPr>
          <w:rFonts w:ascii="Times New Roman" w:hAnsi="Times New Roman"/>
          <w:bCs/>
          <w:iCs/>
          <w:sz w:val="24"/>
          <w:szCs w:val="24"/>
          <w:shd w:val="clear" w:color="auto" w:fill="FFFFFF"/>
          <w:lang w:val="en-GB"/>
        </w:rPr>
        <w:t>.</w:t>
      </w:r>
      <w:r w:rsidRPr="00813E2C">
        <w:rPr>
          <w:rStyle w:val="Rimandonotaapidipagina"/>
          <w:rFonts w:ascii="Times New Roman" w:hAnsi="Times New Roman"/>
          <w:bCs/>
          <w:iCs/>
          <w:sz w:val="24"/>
          <w:szCs w:val="24"/>
          <w:shd w:val="clear" w:color="auto" w:fill="FFFFFF"/>
          <w:lang w:val="en-GB"/>
        </w:rPr>
        <w:footnoteReference w:id="129"/>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bCs/>
          <w:iCs/>
          <w:sz w:val="24"/>
          <w:szCs w:val="24"/>
          <w:shd w:val="clear" w:color="auto" w:fill="FFFFFF"/>
          <w:lang w:val="en-GB"/>
        </w:rPr>
        <w:t xml:space="preserve">Finally, with regard to the substantive legal principles and fundamental rights referred to by the </w:t>
      </w:r>
      <w:r w:rsidRPr="003D634E">
        <w:rPr>
          <w:rFonts w:ascii="Times New Roman" w:hAnsi="Times New Roman"/>
          <w:bCs/>
          <w:iCs/>
          <w:sz w:val="24"/>
          <w:szCs w:val="24"/>
          <w:shd w:val="clear" w:color="auto" w:fill="FFFFFF"/>
          <w:lang w:val="en-GB"/>
        </w:rPr>
        <w:t>Court of Justice</w:t>
      </w:r>
      <w:r w:rsidRPr="00813E2C">
        <w:rPr>
          <w:rFonts w:ascii="Times New Roman" w:hAnsi="Times New Roman"/>
          <w:bCs/>
          <w:iCs/>
          <w:sz w:val="24"/>
          <w:szCs w:val="24"/>
          <w:shd w:val="clear" w:color="auto" w:fill="FFFFFF"/>
          <w:lang w:val="en-GB"/>
        </w:rPr>
        <w:t xml:space="preserve"> in the Sample, it is worth noting the </w:t>
      </w:r>
      <w:r w:rsidRPr="00813E2C">
        <w:rPr>
          <w:rFonts w:ascii="Times New Roman" w:hAnsi="Times New Roman"/>
          <w:iCs/>
          <w:sz w:val="24"/>
          <w:szCs w:val="24"/>
          <w:lang w:val="en-GB"/>
        </w:rPr>
        <w:t>relatively high number of cases that dealt with or mentioned</w:t>
      </w:r>
      <w:r>
        <w:rPr>
          <w:rFonts w:ascii="Times New Roman" w:hAnsi="Times New Roman"/>
          <w:iCs/>
          <w:sz w:val="24"/>
          <w:szCs w:val="24"/>
          <w:lang w:val="en-GB"/>
        </w:rPr>
        <w:t xml:space="preserve"> </w:t>
      </w:r>
      <w:r w:rsidRPr="00813E2C">
        <w:rPr>
          <w:rFonts w:ascii="Times New Roman" w:hAnsi="Times New Roman"/>
          <w:iCs/>
          <w:sz w:val="24"/>
          <w:szCs w:val="24"/>
          <w:lang w:val="en-GB"/>
        </w:rPr>
        <w:t>correlative notions such as proportionality (</w:t>
      </w:r>
      <w:r w:rsidRPr="003C7269">
        <w:rPr>
          <w:rFonts w:ascii="Times New Roman" w:hAnsi="Times New Roman"/>
          <w:iCs/>
          <w:sz w:val="24"/>
          <w:szCs w:val="24"/>
          <w:lang w:val="en-GB"/>
        </w:rPr>
        <w:t>1</w:t>
      </w:r>
      <w:r>
        <w:rPr>
          <w:rFonts w:ascii="Times New Roman" w:hAnsi="Times New Roman"/>
          <w:iCs/>
          <w:sz w:val="24"/>
          <w:szCs w:val="24"/>
          <w:lang w:val="en-GB"/>
        </w:rPr>
        <w:t>0</w:t>
      </w:r>
      <w:r w:rsidRPr="003C7269">
        <w:rPr>
          <w:rFonts w:ascii="Times New Roman" w:hAnsi="Times New Roman"/>
          <w:iCs/>
          <w:sz w:val="24"/>
          <w:szCs w:val="24"/>
          <w:lang w:val="en-GB"/>
        </w:rPr>
        <w:t xml:space="preserve"> judgments</w:t>
      </w:r>
      <w:r w:rsidRPr="00813E2C">
        <w:rPr>
          <w:rStyle w:val="Rimandonotaapidipagina"/>
          <w:rFonts w:ascii="Times New Roman" w:hAnsi="Times New Roman"/>
          <w:iCs/>
          <w:sz w:val="24"/>
          <w:szCs w:val="24"/>
          <w:lang w:val="en-GB"/>
        </w:rPr>
        <w:footnoteReference w:id="130"/>
      </w:r>
      <w:r w:rsidRPr="00813E2C">
        <w:rPr>
          <w:rFonts w:ascii="Times New Roman" w:hAnsi="Times New Roman"/>
          <w:iCs/>
          <w:sz w:val="24"/>
          <w:szCs w:val="24"/>
          <w:lang w:val="en-GB"/>
        </w:rPr>
        <w:t>)</w:t>
      </w:r>
      <w:r>
        <w:rPr>
          <w:rFonts w:ascii="Times New Roman" w:hAnsi="Times New Roman"/>
          <w:iCs/>
          <w:sz w:val="24"/>
          <w:szCs w:val="24"/>
          <w:lang w:val="en-GB"/>
        </w:rPr>
        <w:t xml:space="preserve"> </w:t>
      </w:r>
      <w:r w:rsidRPr="00813E2C">
        <w:rPr>
          <w:rFonts w:ascii="Times New Roman" w:hAnsi="Times New Roman"/>
          <w:iCs/>
          <w:sz w:val="24"/>
          <w:szCs w:val="24"/>
          <w:lang w:val="en-GB"/>
        </w:rPr>
        <w:t xml:space="preserve">and the </w:t>
      </w:r>
      <w:r>
        <w:rPr>
          <w:rFonts w:ascii="Times New Roman" w:hAnsi="Times New Roman"/>
          <w:iCs/>
          <w:sz w:val="24"/>
          <w:szCs w:val="24"/>
          <w:lang w:val="en-GB"/>
        </w:rPr>
        <w:t>‘</w:t>
      </w:r>
      <w:r w:rsidRPr="00813E2C">
        <w:rPr>
          <w:rFonts w:ascii="Times New Roman" w:hAnsi="Times New Roman"/>
          <w:iCs/>
          <w:sz w:val="24"/>
          <w:szCs w:val="24"/>
          <w:lang w:val="en-GB"/>
        </w:rPr>
        <w:t>very substance</w:t>
      </w:r>
      <w:r>
        <w:rPr>
          <w:rFonts w:ascii="Times New Roman" w:hAnsi="Times New Roman"/>
          <w:iCs/>
          <w:sz w:val="24"/>
          <w:szCs w:val="24"/>
          <w:lang w:val="en-GB"/>
        </w:rPr>
        <w:t>’</w:t>
      </w:r>
      <w:r w:rsidRPr="00813E2C">
        <w:rPr>
          <w:rFonts w:ascii="Times New Roman" w:hAnsi="Times New Roman"/>
          <w:iCs/>
          <w:sz w:val="24"/>
          <w:szCs w:val="24"/>
          <w:lang w:val="en-GB"/>
        </w:rPr>
        <w:t xml:space="preserve"> (</w:t>
      </w:r>
      <w:r w:rsidRPr="00813E2C">
        <w:rPr>
          <w:rFonts w:ascii="Times New Roman" w:hAnsi="Times New Roman"/>
          <w:i/>
          <w:sz w:val="24"/>
          <w:szCs w:val="24"/>
          <w:lang w:val="en-GB"/>
        </w:rPr>
        <w:t>Wesengehalt</w:t>
      </w:r>
      <w:r w:rsidRPr="00813E2C">
        <w:rPr>
          <w:rFonts w:ascii="Times New Roman" w:hAnsi="Times New Roman"/>
          <w:iCs/>
          <w:sz w:val="24"/>
          <w:szCs w:val="24"/>
          <w:lang w:val="en-GB"/>
        </w:rPr>
        <w:t>) of fundamental rights (</w:t>
      </w:r>
      <w:r>
        <w:rPr>
          <w:rFonts w:ascii="Times New Roman" w:hAnsi="Times New Roman"/>
          <w:iCs/>
          <w:sz w:val="24"/>
          <w:szCs w:val="24"/>
          <w:lang w:val="en-GB"/>
        </w:rPr>
        <w:t>three</w:t>
      </w:r>
      <w:r w:rsidRPr="00813E2C">
        <w:rPr>
          <w:rFonts w:ascii="Times New Roman" w:hAnsi="Times New Roman"/>
          <w:iCs/>
          <w:sz w:val="24"/>
          <w:szCs w:val="24"/>
          <w:lang w:val="en-GB"/>
        </w:rPr>
        <w:t xml:space="preserve"> </w:t>
      </w:r>
      <w:r>
        <w:rPr>
          <w:rFonts w:ascii="Times New Roman" w:hAnsi="Times New Roman"/>
          <w:iCs/>
          <w:sz w:val="24"/>
          <w:szCs w:val="24"/>
          <w:lang w:val="en-GB"/>
        </w:rPr>
        <w:t>judgme</w:t>
      </w:r>
      <w:r w:rsidRPr="00813E2C">
        <w:rPr>
          <w:rFonts w:ascii="Times New Roman" w:hAnsi="Times New Roman"/>
          <w:iCs/>
          <w:sz w:val="24"/>
          <w:szCs w:val="24"/>
          <w:lang w:val="en-GB"/>
        </w:rPr>
        <w:t>nts</w:t>
      </w:r>
      <w:r w:rsidRPr="00813E2C">
        <w:rPr>
          <w:rStyle w:val="Rimandonotaapidipagina"/>
          <w:rFonts w:ascii="Times New Roman" w:hAnsi="Times New Roman"/>
          <w:iCs/>
          <w:sz w:val="24"/>
          <w:szCs w:val="24"/>
          <w:lang w:val="en-GB"/>
        </w:rPr>
        <w:footnoteReference w:id="131"/>
      </w:r>
      <w:r w:rsidRPr="00813E2C">
        <w:rPr>
          <w:rFonts w:ascii="Times New Roman" w:hAnsi="Times New Roman"/>
          <w:iCs/>
          <w:sz w:val="24"/>
          <w:szCs w:val="24"/>
          <w:lang w:val="en-GB"/>
        </w:rPr>
        <w:t xml:space="preserve">). </w:t>
      </w:r>
      <w:r>
        <w:rPr>
          <w:rFonts w:ascii="Times New Roman" w:hAnsi="Times New Roman"/>
          <w:iCs/>
          <w:sz w:val="24"/>
          <w:szCs w:val="24"/>
          <w:lang w:val="en-GB"/>
        </w:rPr>
        <w:t xml:space="preserve">In these judgments the fundamental rights discourse of the Court </w:t>
      </w:r>
      <w:r>
        <w:rPr>
          <w:rFonts w:ascii="Times New Roman" w:hAnsi="Times New Roman"/>
          <w:sz w:val="24"/>
          <w:szCs w:val="24"/>
          <w:lang w:val="en-GB"/>
        </w:rPr>
        <w:t>exhibits</w:t>
      </w:r>
      <w:r w:rsidRPr="00813E2C">
        <w:rPr>
          <w:rFonts w:ascii="Times New Roman" w:hAnsi="Times New Roman"/>
          <w:sz w:val="24"/>
          <w:szCs w:val="24"/>
          <w:lang w:val="en-GB"/>
        </w:rPr>
        <w:t xml:space="preserve"> certain features</w:t>
      </w:r>
      <w:r w:rsidRPr="006C4C9F">
        <w:rPr>
          <w:rFonts w:ascii="Times New Roman" w:hAnsi="Times New Roman"/>
          <w:sz w:val="24"/>
          <w:szCs w:val="24"/>
          <w:lang w:val="en-GB"/>
        </w:rPr>
        <w:t xml:space="preserve"> </w:t>
      </w:r>
      <w:r w:rsidRPr="00813E2C">
        <w:rPr>
          <w:rFonts w:ascii="Times New Roman" w:hAnsi="Times New Roman"/>
          <w:sz w:val="24"/>
          <w:szCs w:val="24"/>
          <w:lang w:val="en-GB"/>
        </w:rPr>
        <w:t>that</w:t>
      </w:r>
      <w:r>
        <w:rPr>
          <w:rFonts w:ascii="Times New Roman" w:hAnsi="Times New Roman"/>
          <w:sz w:val="24"/>
          <w:szCs w:val="24"/>
          <w:lang w:val="en-GB"/>
        </w:rPr>
        <w:t>, as</w:t>
      </w:r>
      <w:r w:rsidRPr="00813E2C">
        <w:rPr>
          <w:rFonts w:ascii="Times New Roman" w:hAnsi="Times New Roman"/>
          <w:sz w:val="24"/>
          <w:szCs w:val="24"/>
          <w:lang w:val="en-GB"/>
        </w:rPr>
        <w:t xml:space="preserve"> Mattias Kumm not</w:t>
      </w:r>
      <w:r>
        <w:rPr>
          <w:rFonts w:ascii="Times New Roman" w:hAnsi="Times New Roman"/>
          <w:sz w:val="24"/>
          <w:szCs w:val="24"/>
          <w:lang w:val="en-GB"/>
        </w:rPr>
        <w:t>es, are</w:t>
      </w:r>
      <w:r w:rsidRPr="00813E2C">
        <w:rPr>
          <w:rFonts w:ascii="Times New Roman" w:hAnsi="Times New Roman"/>
          <w:sz w:val="24"/>
          <w:szCs w:val="24"/>
          <w:lang w:val="en-GB"/>
        </w:rPr>
        <w:t xml:space="preserve"> remarkably new and distinct from the traditional conception</w:t>
      </w:r>
      <w:r>
        <w:rPr>
          <w:rFonts w:ascii="Times New Roman" w:hAnsi="Times New Roman"/>
          <w:sz w:val="24"/>
          <w:szCs w:val="24"/>
          <w:lang w:val="en-GB"/>
        </w:rPr>
        <w:t xml:space="preserve"> of fundamental rights</w:t>
      </w:r>
      <w:r w:rsidRPr="00813E2C">
        <w:rPr>
          <w:rFonts w:ascii="Times New Roman" w:hAnsi="Times New Roman"/>
          <w:sz w:val="24"/>
          <w:szCs w:val="24"/>
          <w:vertAlign w:val="superscript"/>
          <w:lang w:val="en-GB"/>
        </w:rPr>
        <w:footnoteReference w:id="132"/>
      </w:r>
      <w:r w:rsidRPr="00813E2C">
        <w:rPr>
          <w:rFonts w:ascii="Times New Roman" w:hAnsi="Times New Roman"/>
          <w:sz w:val="24"/>
          <w:szCs w:val="24"/>
          <w:lang w:val="en-GB"/>
        </w:rPr>
        <w:t xml:space="preserve">: fundamental rights stop being thought of as indefeasible rules that work as </w:t>
      </w:r>
      <w:r>
        <w:rPr>
          <w:rFonts w:ascii="Times New Roman" w:hAnsi="Times New Roman"/>
          <w:sz w:val="24"/>
          <w:szCs w:val="24"/>
          <w:lang w:val="en-GB"/>
        </w:rPr>
        <w:t>‘</w:t>
      </w:r>
      <w:r w:rsidRPr="00813E2C">
        <w:rPr>
          <w:rFonts w:ascii="Times New Roman" w:hAnsi="Times New Roman"/>
          <w:sz w:val="24"/>
          <w:szCs w:val="24"/>
          <w:lang w:val="en-GB"/>
        </w:rPr>
        <w:t>trumps</w:t>
      </w:r>
      <w:r>
        <w:rPr>
          <w:rFonts w:ascii="Times New Roman" w:hAnsi="Times New Roman"/>
          <w:sz w:val="24"/>
          <w:szCs w:val="24"/>
          <w:lang w:val="en-GB"/>
        </w:rPr>
        <w:t>’</w:t>
      </w:r>
      <w:r w:rsidRPr="00813E2C">
        <w:rPr>
          <w:rFonts w:ascii="Times New Roman" w:hAnsi="Times New Roman"/>
          <w:sz w:val="24"/>
          <w:szCs w:val="24"/>
          <w:lang w:val="en-GB"/>
        </w:rPr>
        <w:t xml:space="preserve"> against any illegitimate exercise of public authority and come to resemble generic and defeasible reasons that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in the same way as every other authority, </w:t>
      </w:r>
      <w:r>
        <w:rPr>
          <w:rFonts w:ascii="Times New Roman" w:hAnsi="Times New Roman"/>
          <w:sz w:val="24"/>
          <w:szCs w:val="24"/>
          <w:lang w:val="en-GB"/>
        </w:rPr>
        <w:t xml:space="preserve">should </w:t>
      </w:r>
      <w:r w:rsidRPr="00813E2C">
        <w:rPr>
          <w:rFonts w:ascii="Times New Roman" w:hAnsi="Times New Roman"/>
          <w:sz w:val="24"/>
          <w:szCs w:val="24"/>
          <w:lang w:val="en-GB"/>
        </w:rPr>
        <w:t xml:space="preserve">take into consideration when adjudicating on public policy issues. </w:t>
      </w:r>
    </w:p>
    <w:p w:rsidR="005E6612" w:rsidRPr="00813E2C" w:rsidRDefault="005E6612" w:rsidP="00B27D8E">
      <w:pPr>
        <w:spacing w:line="240" w:lineRule="auto"/>
        <w:jc w:val="both"/>
        <w:rPr>
          <w:rFonts w:ascii="Times New Roman" w:hAnsi="Times New Roman"/>
          <w:i/>
          <w:sz w:val="24"/>
          <w:szCs w:val="24"/>
          <w:lang w:val="en-GB"/>
        </w:rPr>
      </w:pPr>
      <w:r w:rsidRPr="00813E2C">
        <w:rPr>
          <w:rFonts w:ascii="Times New Roman" w:hAnsi="Times New Roman"/>
          <w:sz w:val="24"/>
          <w:szCs w:val="24"/>
          <w:lang w:val="en-GB"/>
        </w:rPr>
        <w:t xml:space="preserve">4. </w:t>
      </w:r>
      <w:r w:rsidRPr="00813E2C">
        <w:rPr>
          <w:rFonts w:ascii="Times New Roman" w:hAnsi="Times New Roman"/>
          <w:i/>
          <w:sz w:val="24"/>
          <w:szCs w:val="24"/>
          <w:lang w:val="en-GB"/>
        </w:rPr>
        <w:t>Rule of Law</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It comes </w:t>
      </w:r>
      <w:r>
        <w:rPr>
          <w:rFonts w:ascii="Times New Roman" w:hAnsi="Times New Roman"/>
          <w:sz w:val="24"/>
          <w:szCs w:val="24"/>
          <w:lang w:val="en-GB"/>
        </w:rPr>
        <w:t>as</w:t>
      </w:r>
      <w:r w:rsidRPr="00813E2C">
        <w:rPr>
          <w:rFonts w:ascii="Times New Roman" w:hAnsi="Times New Roman"/>
          <w:sz w:val="24"/>
          <w:szCs w:val="24"/>
          <w:lang w:val="en-GB"/>
        </w:rPr>
        <w:t xml:space="preserve"> no surprise that among the key concepts taken into consideration by the analysis of the </w:t>
      </w:r>
      <w:r>
        <w:rPr>
          <w:rFonts w:ascii="Times New Roman" w:hAnsi="Times New Roman"/>
          <w:sz w:val="24"/>
          <w:szCs w:val="24"/>
          <w:lang w:val="en-GB"/>
        </w:rPr>
        <w:t>40</w:t>
      </w:r>
      <w:r w:rsidRPr="00813E2C">
        <w:rPr>
          <w:rFonts w:ascii="Times New Roman" w:hAnsi="Times New Roman"/>
          <w:sz w:val="24"/>
          <w:szCs w:val="24"/>
          <w:lang w:val="en-GB"/>
        </w:rPr>
        <w:t xml:space="preserve"> </w:t>
      </w:r>
      <w:r>
        <w:rPr>
          <w:rFonts w:ascii="Times New Roman" w:hAnsi="Times New Roman"/>
          <w:sz w:val="24"/>
          <w:szCs w:val="24"/>
          <w:lang w:val="en-GB"/>
        </w:rPr>
        <w:t>important</w:t>
      </w:r>
      <w:r w:rsidRPr="00813E2C">
        <w:rPr>
          <w:rFonts w:ascii="Times New Roman" w:hAnsi="Times New Roman"/>
          <w:sz w:val="24"/>
          <w:szCs w:val="24"/>
          <w:lang w:val="en-GB"/>
        </w:rPr>
        <w:t xml:space="preserve"> </w:t>
      </w:r>
      <w:r>
        <w:rPr>
          <w:rFonts w:ascii="Times New Roman" w:hAnsi="Times New Roman"/>
          <w:sz w:val="24"/>
          <w:szCs w:val="24"/>
          <w:lang w:val="en-GB"/>
        </w:rPr>
        <w:t>judgme</w:t>
      </w:r>
      <w:r w:rsidRPr="00813E2C">
        <w:rPr>
          <w:rFonts w:ascii="Times New Roman" w:hAnsi="Times New Roman"/>
          <w:sz w:val="24"/>
          <w:szCs w:val="24"/>
          <w:lang w:val="en-GB"/>
        </w:rPr>
        <w:t xml:space="preserve">nts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the rule of law occupies the dominant position. No less than 14 </w:t>
      </w:r>
      <w:r>
        <w:rPr>
          <w:rFonts w:ascii="Times New Roman" w:hAnsi="Times New Roman"/>
          <w:sz w:val="24"/>
          <w:szCs w:val="24"/>
          <w:lang w:val="en-GB"/>
        </w:rPr>
        <w:t>judgme</w:t>
      </w:r>
      <w:r w:rsidRPr="00813E2C">
        <w:rPr>
          <w:rFonts w:ascii="Times New Roman" w:hAnsi="Times New Roman"/>
          <w:sz w:val="24"/>
          <w:szCs w:val="24"/>
          <w:lang w:val="en-GB"/>
        </w:rPr>
        <w:t xml:space="preserve">nts invoke the concept either explicitly or implicitly by having recourse to notions that are identical to or implied by the principle of the rule of law, such as legal certainty, legality, non-retroactivity and – particularly important in the context of the </w:t>
      </w:r>
      <w:r>
        <w:rPr>
          <w:rFonts w:ascii="Times New Roman" w:hAnsi="Times New Roman"/>
          <w:sz w:val="24"/>
          <w:szCs w:val="24"/>
          <w:lang w:val="en-GB"/>
        </w:rPr>
        <w:t>EU</w:t>
      </w:r>
      <w:r w:rsidRPr="00813E2C">
        <w:rPr>
          <w:rFonts w:ascii="Times New Roman" w:hAnsi="Times New Roman"/>
          <w:sz w:val="24"/>
          <w:szCs w:val="24"/>
          <w:lang w:val="en-GB"/>
        </w:rPr>
        <w:t xml:space="preserve"> – uniform application of </w:t>
      </w:r>
      <w:r>
        <w:rPr>
          <w:rFonts w:ascii="Times New Roman" w:hAnsi="Times New Roman"/>
          <w:sz w:val="24"/>
          <w:szCs w:val="24"/>
          <w:lang w:val="en-GB"/>
        </w:rPr>
        <w:t>EU</w:t>
      </w:r>
      <w:r w:rsidRPr="00813E2C">
        <w:rPr>
          <w:rFonts w:ascii="Times New Roman" w:hAnsi="Times New Roman"/>
          <w:sz w:val="24"/>
          <w:szCs w:val="24"/>
          <w:lang w:val="en-GB"/>
        </w:rPr>
        <w:t xml:space="preserve"> law and autonomy of </w:t>
      </w:r>
      <w:r>
        <w:rPr>
          <w:rFonts w:ascii="Times New Roman" w:hAnsi="Times New Roman"/>
          <w:sz w:val="24"/>
          <w:szCs w:val="24"/>
          <w:lang w:val="en-GB"/>
        </w:rPr>
        <w:t>its</w:t>
      </w:r>
      <w:r w:rsidRPr="00813E2C">
        <w:rPr>
          <w:rFonts w:ascii="Times New Roman" w:hAnsi="Times New Roman"/>
          <w:sz w:val="24"/>
          <w:szCs w:val="24"/>
          <w:lang w:val="en-GB"/>
        </w:rPr>
        <w:t xml:space="preserve"> legal order.</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In fact, as Bogdandy </w:t>
      </w:r>
      <w:r>
        <w:rPr>
          <w:rFonts w:ascii="Times New Roman" w:hAnsi="Times New Roman"/>
          <w:sz w:val="24"/>
          <w:szCs w:val="24"/>
          <w:lang w:val="en-GB"/>
        </w:rPr>
        <w:t xml:space="preserve">rightly </w:t>
      </w:r>
      <w:r w:rsidRPr="00813E2C">
        <w:rPr>
          <w:rFonts w:ascii="Times New Roman" w:hAnsi="Times New Roman"/>
          <w:sz w:val="24"/>
          <w:szCs w:val="24"/>
          <w:lang w:val="en-GB"/>
        </w:rPr>
        <w:t>note</w:t>
      </w:r>
      <w:r>
        <w:rPr>
          <w:rFonts w:ascii="Times New Roman" w:hAnsi="Times New Roman"/>
          <w:sz w:val="24"/>
          <w:szCs w:val="24"/>
          <w:lang w:val="en-GB"/>
        </w:rPr>
        <w:t>d</w:t>
      </w:r>
      <w:r w:rsidRPr="00813E2C">
        <w:rPr>
          <w:rFonts w:ascii="Times New Roman" w:hAnsi="Times New Roman"/>
          <w:sz w:val="24"/>
          <w:szCs w:val="24"/>
          <w:lang w:val="en-GB"/>
        </w:rPr>
        <w:t xml:space="preserve">, most of the </w:t>
      </w:r>
      <w:r w:rsidRPr="003D634E">
        <w:rPr>
          <w:rFonts w:ascii="Times New Roman" w:hAnsi="Times New Roman"/>
          <w:sz w:val="24"/>
          <w:szCs w:val="24"/>
          <w:lang w:val="en-GB"/>
        </w:rPr>
        <w:t>Court</w:t>
      </w:r>
      <w:r w:rsidRPr="00813E2C">
        <w:rPr>
          <w:rFonts w:ascii="Times New Roman" w:hAnsi="Times New Roman"/>
          <w:sz w:val="24"/>
          <w:szCs w:val="24"/>
          <w:lang w:val="en-GB"/>
        </w:rPr>
        <w:t xml:space="preserve">’s great </w:t>
      </w:r>
      <w:r>
        <w:rPr>
          <w:rFonts w:ascii="Times New Roman" w:hAnsi="Times New Roman"/>
          <w:sz w:val="24"/>
          <w:szCs w:val="24"/>
          <w:lang w:val="en-GB"/>
        </w:rPr>
        <w:t>judgme</w:t>
      </w:r>
      <w:r w:rsidRPr="00813E2C">
        <w:rPr>
          <w:rFonts w:ascii="Times New Roman" w:hAnsi="Times New Roman"/>
          <w:sz w:val="24"/>
          <w:szCs w:val="24"/>
          <w:lang w:val="en-GB"/>
        </w:rPr>
        <w:t xml:space="preserve">nts </w:t>
      </w:r>
      <w:r>
        <w:rPr>
          <w:rFonts w:ascii="Times New Roman" w:hAnsi="Times New Roman"/>
          <w:sz w:val="24"/>
          <w:szCs w:val="24"/>
          <w:lang w:val="en-GB"/>
        </w:rPr>
        <w:t>are</w:t>
      </w:r>
      <w:r w:rsidRPr="00813E2C">
        <w:rPr>
          <w:rFonts w:ascii="Times New Roman" w:hAnsi="Times New Roman"/>
          <w:sz w:val="24"/>
          <w:szCs w:val="24"/>
          <w:lang w:val="en-GB"/>
        </w:rPr>
        <w:t xml:space="preserve"> not meant to implement substantive legal principles, but focus instead on “furthering integration through ensuring that the results of the political process, i.e. primary or secondary law, are enforced”</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33"/>
      </w:r>
      <w:r w:rsidRPr="00813E2C">
        <w:rPr>
          <w:rFonts w:ascii="Times New Roman" w:hAnsi="Times New Roman"/>
          <w:sz w:val="24"/>
          <w:szCs w:val="24"/>
          <w:lang w:val="en-GB"/>
        </w:rPr>
        <w:t xml:space="preserve"> Instead of human dignity and fundamental rights at the centre of the case law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we find the principles of the rule of law, direct effect and supremacy, legal certainty and legitimate expectation, uniform application and </w:t>
      </w:r>
      <w:r>
        <w:rPr>
          <w:rFonts w:ascii="Times New Roman" w:hAnsi="Times New Roman"/>
          <w:sz w:val="24"/>
          <w:szCs w:val="24"/>
          <w:lang w:val="en-GB"/>
        </w:rPr>
        <w:t>effective judicial protection. ‘</w:t>
      </w:r>
      <w:r w:rsidRPr="00813E2C">
        <w:rPr>
          <w:rFonts w:ascii="Times New Roman" w:hAnsi="Times New Roman"/>
          <w:sz w:val="24"/>
          <w:szCs w:val="24"/>
          <w:lang w:val="en-GB"/>
        </w:rPr>
        <w:t>There seems to be a mismatch between the range and depth of the EU activities and the tiny number of human rights cases involving EU intrusion brought – or the even smaller number which are successful</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34"/>
      </w:r>
      <w:r w:rsidRPr="00813E2C">
        <w:rPr>
          <w:rFonts w:ascii="Times New Roman" w:hAnsi="Times New Roman"/>
          <w:sz w:val="24"/>
          <w:szCs w:val="24"/>
          <w:lang w:val="en-GB"/>
        </w:rPr>
        <w:t xml:space="preserve"> </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This can be shown by comparing the scarce and somewhat subdued references to fundamental rights with the references to the notion of the rule of law</w:t>
      </w:r>
      <w:r w:rsidRPr="00813E2C">
        <w:rPr>
          <w:rFonts w:ascii="Times New Roman" w:hAnsi="Times New Roman"/>
          <w:iCs/>
          <w:sz w:val="24"/>
          <w:szCs w:val="24"/>
          <w:lang w:val="en-GB"/>
        </w:rPr>
        <w:t xml:space="preserve">. From the beginning, the </w:t>
      </w:r>
      <w:r>
        <w:rPr>
          <w:rFonts w:ascii="Times New Roman" w:hAnsi="Times New Roman"/>
          <w:iCs/>
          <w:sz w:val="24"/>
          <w:szCs w:val="24"/>
          <w:lang w:val="en-GB"/>
        </w:rPr>
        <w:t>ECs</w:t>
      </w:r>
      <w:r w:rsidRPr="00813E2C">
        <w:rPr>
          <w:rFonts w:ascii="Times New Roman" w:hAnsi="Times New Roman"/>
          <w:iCs/>
          <w:sz w:val="24"/>
          <w:szCs w:val="24"/>
          <w:lang w:val="en-GB"/>
        </w:rPr>
        <w:t xml:space="preserve"> were conceived as communities based on the rule of law in order to express the idea that, as they were </w:t>
      </w:r>
      <w:r w:rsidRPr="00813E2C">
        <w:rPr>
          <w:rFonts w:ascii="Times New Roman" w:hAnsi="Times New Roman"/>
          <w:iCs/>
          <w:sz w:val="24"/>
          <w:szCs w:val="24"/>
          <w:lang w:val="en-GB"/>
        </w:rPr>
        <w:lastRenderedPageBreak/>
        <w:t xml:space="preserve">lacking the means of physical coercion, voluntary compliance with </w:t>
      </w:r>
      <w:r>
        <w:rPr>
          <w:rFonts w:ascii="Times New Roman" w:hAnsi="Times New Roman"/>
          <w:iCs/>
          <w:sz w:val="24"/>
          <w:szCs w:val="24"/>
          <w:lang w:val="en-GB"/>
        </w:rPr>
        <w:t>Community</w:t>
      </w:r>
      <w:r w:rsidRPr="00813E2C">
        <w:rPr>
          <w:rFonts w:ascii="Times New Roman" w:hAnsi="Times New Roman"/>
          <w:iCs/>
          <w:sz w:val="24"/>
          <w:szCs w:val="24"/>
          <w:lang w:val="en-GB"/>
        </w:rPr>
        <w:t xml:space="preserve"> law was the only basis upon which their objectives could be achieved. The rule of law </w:t>
      </w:r>
      <w:r w:rsidRPr="00813E2C">
        <w:rPr>
          <w:rFonts w:ascii="Times New Roman" w:hAnsi="Times New Roman"/>
          <w:sz w:val="24"/>
          <w:szCs w:val="24"/>
          <w:lang w:val="en-GB"/>
        </w:rPr>
        <w:t>was the</w:t>
      </w:r>
      <w:r w:rsidRPr="00813E2C">
        <w:rPr>
          <w:rFonts w:ascii="Times New Roman" w:hAnsi="Times New Roman"/>
          <w:iCs/>
          <w:sz w:val="24"/>
          <w:szCs w:val="24"/>
          <w:lang w:val="en-GB"/>
        </w:rPr>
        <w:t xml:space="preserve"> first classical constitutional principle to be claimed for </w:t>
      </w:r>
      <w:r>
        <w:rPr>
          <w:rFonts w:ascii="Times New Roman" w:hAnsi="Times New Roman"/>
          <w:iCs/>
          <w:sz w:val="24"/>
          <w:szCs w:val="24"/>
          <w:lang w:val="en-GB"/>
        </w:rPr>
        <w:t>Community</w:t>
      </w:r>
      <w:r w:rsidRPr="00813E2C">
        <w:rPr>
          <w:rFonts w:ascii="Times New Roman" w:hAnsi="Times New Roman"/>
          <w:iCs/>
          <w:sz w:val="24"/>
          <w:szCs w:val="24"/>
          <w:lang w:val="en-GB"/>
        </w:rPr>
        <w:t xml:space="preserve"> law, and today it is c</w:t>
      </w:r>
      <w:r w:rsidRPr="00813E2C">
        <w:rPr>
          <w:rFonts w:ascii="Times New Roman" w:hAnsi="Times New Roman"/>
          <w:sz w:val="24"/>
          <w:szCs w:val="24"/>
          <w:lang w:val="en-GB"/>
        </w:rPr>
        <w:t xml:space="preserve">ommonly regarded as one of the foundational principles legitimating the constitutional order </w:t>
      </w:r>
      <w:r>
        <w:rPr>
          <w:rFonts w:ascii="Times New Roman" w:hAnsi="Times New Roman"/>
          <w:sz w:val="24"/>
          <w:szCs w:val="24"/>
          <w:lang w:val="en-GB"/>
        </w:rPr>
        <w:t xml:space="preserve">of the </w:t>
      </w:r>
      <w:r w:rsidRPr="00813E2C">
        <w:rPr>
          <w:rFonts w:ascii="Times New Roman" w:hAnsi="Times New Roman"/>
          <w:sz w:val="24"/>
          <w:szCs w:val="24"/>
          <w:lang w:val="en-GB"/>
        </w:rPr>
        <w:t>EU</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35"/>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The </w:t>
      </w:r>
      <w:r w:rsidRPr="00813E2C">
        <w:rPr>
          <w:rFonts w:ascii="Times New Roman" w:hAnsi="Times New Roman"/>
          <w:iCs/>
          <w:sz w:val="24"/>
          <w:szCs w:val="24"/>
          <w:lang w:val="en-GB"/>
        </w:rPr>
        <w:t>principle of the rule of law</w:t>
      </w:r>
      <w:r>
        <w:rPr>
          <w:rFonts w:ascii="Times New Roman" w:hAnsi="Times New Roman"/>
          <w:iCs/>
          <w:sz w:val="24"/>
          <w:szCs w:val="24"/>
          <w:lang w:val="en-GB"/>
        </w:rPr>
        <w:t xml:space="preserve"> plays </w:t>
      </w:r>
      <w:r w:rsidRPr="00813E2C">
        <w:rPr>
          <w:rFonts w:ascii="Times New Roman" w:hAnsi="Times New Roman"/>
          <w:iCs/>
          <w:sz w:val="24"/>
          <w:szCs w:val="24"/>
          <w:lang w:val="en-GB"/>
        </w:rPr>
        <w:t>a crucial role in strengthening the authority of the</w:t>
      </w:r>
      <w:r>
        <w:rPr>
          <w:rFonts w:ascii="Times New Roman" w:hAnsi="Times New Roman"/>
          <w:iCs/>
          <w:sz w:val="24"/>
          <w:szCs w:val="24"/>
          <w:lang w:val="en-GB"/>
        </w:rPr>
        <w:t xml:space="preserve"> EU institutions, and in particular the authority of the </w:t>
      </w:r>
      <w:r w:rsidRPr="003D634E">
        <w:rPr>
          <w:rFonts w:ascii="Times New Roman" w:hAnsi="Times New Roman"/>
          <w:iCs/>
          <w:sz w:val="24"/>
          <w:szCs w:val="24"/>
          <w:lang w:val="en-GB"/>
        </w:rPr>
        <w:t>Court of Justice</w:t>
      </w:r>
      <w:r>
        <w:rPr>
          <w:rFonts w:ascii="Times New Roman" w:hAnsi="Times New Roman"/>
          <w:iCs/>
          <w:sz w:val="24"/>
          <w:szCs w:val="24"/>
          <w:lang w:val="en-GB"/>
        </w:rPr>
        <w:t xml:space="preserve">, </w:t>
      </w:r>
      <w:r w:rsidRPr="002D527F">
        <w:rPr>
          <w:rFonts w:ascii="Times New Roman" w:hAnsi="Times New Roman"/>
          <w:i/>
          <w:iCs/>
          <w:sz w:val="24"/>
          <w:szCs w:val="24"/>
          <w:lang w:val="en-GB"/>
        </w:rPr>
        <w:t>vis-à-vis</w:t>
      </w:r>
      <w:r>
        <w:rPr>
          <w:rFonts w:ascii="Times New Roman" w:hAnsi="Times New Roman"/>
          <w:iCs/>
          <w:sz w:val="24"/>
          <w:szCs w:val="24"/>
          <w:lang w:val="en-GB"/>
        </w:rPr>
        <w:t xml:space="preserve"> the Member States, as clearly expressed in the often-quoted maxim from </w:t>
      </w:r>
      <w:r w:rsidRPr="00813E2C">
        <w:rPr>
          <w:rFonts w:ascii="Times New Roman" w:hAnsi="Times New Roman"/>
          <w:i/>
          <w:iCs/>
          <w:sz w:val="24"/>
          <w:szCs w:val="24"/>
          <w:lang w:val="en-GB"/>
        </w:rPr>
        <w:t>Les Verts</w:t>
      </w:r>
      <w:r w:rsidRPr="00813E2C">
        <w:rPr>
          <w:rFonts w:ascii="Times New Roman" w:hAnsi="Times New Roman"/>
          <w:iCs/>
          <w:sz w:val="24"/>
          <w:szCs w:val="24"/>
          <w:lang w:val="en-GB"/>
        </w:rPr>
        <w:t>:</w:t>
      </w:r>
    </w:p>
    <w:p w:rsidR="005E6612" w:rsidRPr="00070FEE" w:rsidRDefault="005E6612" w:rsidP="00B27D8E">
      <w:pPr>
        <w:spacing w:line="240" w:lineRule="auto"/>
        <w:ind w:left="708"/>
        <w:jc w:val="both"/>
        <w:rPr>
          <w:rFonts w:ascii="Times New Roman" w:hAnsi="Times New Roman"/>
          <w:sz w:val="20"/>
          <w:szCs w:val="20"/>
          <w:lang w:val="en-GB"/>
        </w:rPr>
      </w:pPr>
      <w:r w:rsidRPr="00070FEE">
        <w:rPr>
          <w:rFonts w:ascii="Times New Roman" w:hAnsi="Times New Roman"/>
          <w:sz w:val="20"/>
          <w:szCs w:val="20"/>
          <w:lang w:val="en-GB"/>
        </w:rPr>
        <w:t>the European Economic Community is a Community based on the rule of law, inasmuch as neither its Member States nor its institutions can avoid a review of the question whether the measures adopted by them are in conformity with the basic constitutional charter, the Treaty. In particular ... the Treaty established a complete system of legal remedies and procedures designed to permit the Court of Justice to review the legality of measures adopted by the institutions.</w:t>
      </w:r>
      <w:r w:rsidRPr="00070FEE">
        <w:rPr>
          <w:rFonts w:ascii="Times New Roman" w:hAnsi="Times New Roman"/>
          <w:sz w:val="20"/>
          <w:szCs w:val="20"/>
          <w:vertAlign w:val="superscript"/>
          <w:lang w:val="en-GB"/>
        </w:rPr>
        <w:footnoteReference w:id="136"/>
      </w:r>
    </w:p>
    <w:p w:rsidR="005E6612" w:rsidRPr="00813E2C" w:rsidRDefault="005E6612" w:rsidP="00B27D8E">
      <w:pPr>
        <w:spacing w:line="240" w:lineRule="auto"/>
        <w:jc w:val="both"/>
        <w:rPr>
          <w:rFonts w:ascii="Times New Roman" w:hAnsi="Times New Roman"/>
          <w:iCs/>
          <w:sz w:val="24"/>
          <w:szCs w:val="24"/>
          <w:lang w:val="en-GB"/>
        </w:rPr>
      </w:pPr>
      <w:r>
        <w:rPr>
          <w:rFonts w:ascii="Times New Roman" w:hAnsi="Times New Roman"/>
          <w:iCs/>
          <w:sz w:val="24"/>
          <w:szCs w:val="24"/>
          <w:lang w:val="en-GB"/>
        </w:rPr>
        <w:t>A</w:t>
      </w:r>
      <w:r w:rsidRPr="00813E2C">
        <w:rPr>
          <w:rFonts w:ascii="Times New Roman" w:hAnsi="Times New Roman"/>
          <w:iCs/>
          <w:sz w:val="24"/>
          <w:szCs w:val="24"/>
          <w:lang w:val="en-GB"/>
        </w:rPr>
        <w:t xml:space="preserve">ccording to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respect for the princi</w:t>
      </w:r>
      <w:r>
        <w:rPr>
          <w:rFonts w:ascii="Times New Roman" w:hAnsi="Times New Roman"/>
          <w:iCs/>
          <w:sz w:val="24"/>
          <w:szCs w:val="24"/>
          <w:lang w:val="en-GB"/>
        </w:rPr>
        <w:t>ple of the rule of law implies</w:t>
      </w:r>
      <w:r w:rsidRPr="00813E2C">
        <w:rPr>
          <w:rFonts w:ascii="Times New Roman" w:hAnsi="Times New Roman"/>
          <w:iCs/>
          <w:sz w:val="24"/>
          <w:szCs w:val="24"/>
          <w:lang w:val="en-GB"/>
        </w:rPr>
        <w:t xml:space="preserve"> that </w:t>
      </w:r>
      <w:r>
        <w:rPr>
          <w:rFonts w:ascii="Times New Roman" w:hAnsi="Times New Roman"/>
          <w:iCs/>
          <w:sz w:val="24"/>
          <w:szCs w:val="24"/>
          <w:lang w:val="en-GB"/>
        </w:rPr>
        <w:t>Community</w:t>
      </w:r>
      <w:r w:rsidRPr="00813E2C">
        <w:rPr>
          <w:rFonts w:ascii="Times New Roman" w:hAnsi="Times New Roman"/>
          <w:iCs/>
          <w:sz w:val="24"/>
          <w:szCs w:val="24"/>
          <w:lang w:val="en-GB"/>
        </w:rPr>
        <w:t xml:space="preserve"> law cannot be overridden by domestic legal provisions</w:t>
      </w:r>
      <w:r>
        <w:rPr>
          <w:rFonts w:ascii="Times New Roman" w:hAnsi="Times New Roman"/>
          <w:iCs/>
          <w:sz w:val="24"/>
          <w:szCs w:val="24"/>
          <w:lang w:val="en-GB"/>
        </w:rPr>
        <w:t>,</w:t>
      </w:r>
      <w:r w:rsidRPr="00813E2C">
        <w:rPr>
          <w:rStyle w:val="Rimandonotaapidipagina"/>
          <w:rFonts w:ascii="Times New Roman" w:hAnsi="Times New Roman"/>
          <w:iCs/>
          <w:sz w:val="24"/>
          <w:szCs w:val="24"/>
          <w:lang w:val="en-GB"/>
        </w:rPr>
        <w:footnoteReference w:id="137"/>
      </w:r>
      <w:r w:rsidRPr="00813E2C">
        <w:rPr>
          <w:rFonts w:ascii="Times New Roman" w:hAnsi="Times New Roman"/>
          <w:iCs/>
          <w:sz w:val="24"/>
          <w:szCs w:val="24"/>
          <w:lang w:val="en-GB"/>
        </w:rPr>
        <w:t xml:space="preserve"> and </w:t>
      </w:r>
      <w:r>
        <w:rPr>
          <w:rFonts w:ascii="Times New Roman" w:hAnsi="Times New Roman"/>
          <w:iCs/>
          <w:sz w:val="24"/>
          <w:szCs w:val="24"/>
          <w:lang w:val="en-GB"/>
        </w:rPr>
        <w:t>‘</w:t>
      </w:r>
      <w:r w:rsidRPr="00813E2C">
        <w:rPr>
          <w:rFonts w:ascii="Times New Roman" w:hAnsi="Times New Roman"/>
          <w:iCs/>
          <w:sz w:val="24"/>
          <w:szCs w:val="24"/>
          <w:lang w:val="en-GB"/>
        </w:rPr>
        <w:t>imposes upon all persons subject to Community law the obligation to acknowledge that regulations are fully effective so long as they have not been declared to be invalid by a competent court</w:t>
      </w:r>
      <w:r>
        <w:rPr>
          <w:rFonts w:ascii="Times New Roman" w:hAnsi="Times New Roman"/>
          <w:iCs/>
          <w:sz w:val="24"/>
          <w:szCs w:val="24"/>
          <w:lang w:val="en-GB"/>
        </w:rPr>
        <w:t>’.</w:t>
      </w:r>
      <w:r w:rsidRPr="00813E2C">
        <w:rPr>
          <w:rFonts w:ascii="Times New Roman" w:hAnsi="Times New Roman"/>
          <w:iCs/>
          <w:sz w:val="24"/>
          <w:szCs w:val="24"/>
          <w:vertAlign w:val="superscript"/>
          <w:lang w:val="en-GB"/>
        </w:rPr>
        <w:footnoteReference w:id="138"/>
      </w:r>
      <w:r w:rsidRPr="00813E2C">
        <w:rPr>
          <w:rFonts w:ascii="Times New Roman" w:hAnsi="Times New Roman"/>
          <w:iCs/>
          <w:sz w:val="24"/>
          <w:szCs w:val="24"/>
          <w:lang w:val="en-GB"/>
        </w:rPr>
        <w:t xml:space="preserve"> The validity of Community law can only be judged in light of the Treaties and cannot be affected by its alleged incompatibility with domestic constitutional rights</w:t>
      </w:r>
      <w:r w:rsidRPr="00813E2C">
        <w:rPr>
          <w:rStyle w:val="Rimandonotaapidipagina"/>
          <w:rFonts w:ascii="Times New Roman" w:hAnsi="Times New Roman"/>
          <w:iCs/>
          <w:sz w:val="24"/>
          <w:szCs w:val="24"/>
          <w:lang w:val="en-GB"/>
        </w:rPr>
        <w:footnoteReference w:id="139"/>
      </w:r>
      <w:r w:rsidRPr="00813E2C">
        <w:rPr>
          <w:rFonts w:ascii="Times New Roman" w:hAnsi="Times New Roman"/>
          <w:iCs/>
          <w:sz w:val="24"/>
          <w:szCs w:val="24"/>
          <w:lang w:val="en-GB"/>
        </w:rPr>
        <w:t xml:space="preserve"> or with domestic rules as to the division of powers between constitutional authorities</w:t>
      </w:r>
      <w:r>
        <w:rPr>
          <w:rFonts w:ascii="Times New Roman" w:hAnsi="Times New Roman"/>
          <w:iCs/>
          <w:sz w:val="24"/>
          <w:szCs w:val="24"/>
          <w:lang w:val="en-GB"/>
        </w:rPr>
        <w:t>.</w:t>
      </w:r>
      <w:r w:rsidRPr="00813E2C">
        <w:rPr>
          <w:rStyle w:val="Rimandonotaapidipagina"/>
          <w:rFonts w:ascii="Times New Roman" w:hAnsi="Times New Roman"/>
          <w:iCs/>
          <w:sz w:val="24"/>
          <w:szCs w:val="24"/>
          <w:lang w:val="en-GB"/>
        </w:rPr>
        <w:footnoteReference w:id="140"/>
      </w:r>
      <w:r w:rsidRPr="00813E2C">
        <w:rPr>
          <w:rFonts w:ascii="Times New Roman" w:hAnsi="Times New Roman"/>
          <w:iCs/>
          <w:sz w:val="24"/>
          <w:szCs w:val="24"/>
          <w:lang w:val="en-GB"/>
        </w:rPr>
        <w:t xml:space="preserve"> The national courts do not have the power to declare acts of the Community institutions invalid</w:t>
      </w:r>
      <w:r w:rsidRPr="00813E2C">
        <w:rPr>
          <w:rStyle w:val="Rimandonotaapidipagina"/>
          <w:rFonts w:ascii="Times New Roman" w:hAnsi="Times New Roman"/>
          <w:iCs/>
          <w:sz w:val="24"/>
          <w:szCs w:val="24"/>
          <w:lang w:val="en-GB"/>
        </w:rPr>
        <w:footnoteReference w:id="141"/>
      </w:r>
      <w:r w:rsidRPr="00813E2C">
        <w:rPr>
          <w:rFonts w:ascii="Times New Roman" w:hAnsi="Times New Roman"/>
          <w:iCs/>
          <w:sz w:val="24"/>
          <w:szCs w:val="24"/>
          <w:lang w:val="en-GB"/>
        </w:rPr>
        <w:t xml:space="preserve">: only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xml:space="preserve"> can do so and, when needed, it can also limit the temporal effects of its </w:t>
      </w:r>
      <w:r>
        <w:rPr>
          <w:rFonts w:ascii="Times New Roman" w:hAnsi="Times New Roman"/>
          <w:iCs/>
          <w:sz w:val="24"/>
          <w:szCs w:val="24"/>
          <w:lang w:val="en-GB"/>
        </w:rPr>
        <w:t>judgme</w:t>
      </w:r>
      <w:r w:rsidRPr="00813E2C">
        <w:rPr>
          <w:rFonts w:ascii="Times New Roman" w:hAnsi="Times New Roman"/>
          <w:iCs/>
          <w:sz w:val="24"/>
          <w:szCs w:val="24"/>
          <w:lang w:val="en-GB"/>
        </w:rPr>
        <w:t xml:space="preserve">nts taking into account </w:t>
      </w:r>
      <w:r>
        <w:rPr>
          <w:rFonts w:ascii="Times New Roman" w:hAnsi="Times New Roman"/>
          <w:iCs/>
          <w:sz w:val="24"/>
          <w:szCs w:val="24"/>
          <w:lang w:val="en-GB"/>
        </w:rPr>
        <w:t>‘</w:t>
      </w:r>
      <w:r w:rsidRPr="00813E2C">
        <w:rPr>
          <w:rFonts w:ascii="Times New Roman" w:hAnsi="Times New Roman"/>
          <w:iCs/>
          <w:sz w:val="24"/>
          <w:szCs w:val="24"/>
          <w:lang w:val="en-GB"/>
        </w:rPr>
        <w:t>overriding considerations of legal certainty</w:t>
      </w:r>
      <w:r>
        <w:rPr>
          <w:rFonts w:ascii="Times New Roman" w:hAnsi="Times New Roman"/>
          <w:iCs/>
          <w:sz w:val="24"/>
          <w:szCs w:val="24"/>
          <w:lang w:val="en-GB"/>
        </w:rPr>
        <w:t>’.</w:t>
      </w:r>
      <w:r w:rsidRPr="00813E2C">
        <w:rPr>
          <w:rStyle w:val="Rimandonotaapidipagina"/>
          <w:rFonts w:ascii="Times New Roman" w:hAnsi="Times New Roman"/>
          <w:iCs/>
          <w:sz w:val="24"/>
          <w:szCs w:val="24"/>
          <w:lang w:val="en-GB"/>
        </w:rPr>
        <w:footnoteReference w:id="142"/>
      </w:r>
      <w:r w:rsidRPr="00813E2C">
        <w:rPr>
          <w:rFonts w:ascii="Times New Roman" w:hAnsi="Times New Roman"/>
          <w:iCs/>
          <w:sz w:val="24"/>
          <w:szCs w:val="24"/>
          <w:lang w:val="en-GB"/>
        </w:rPr>
        <w:t xml:space="preserve"> </w:t>
      </w:r>
    </w:p>
    <w:p w:rsidR="005E6612" w:rsidRDefault="005E6612" w:rsidP="00B27D8E">
      <w:pPr>
        <w:spacing w:line="240" w:lineRule="auto"/>
        <w:jc w:val="both"/>
        <w:rPr>
          <w:rFonts w:ascii="Times New Roman" w:hAnsi="Times New Roman"/>
          <w:iCs/>
          <w:sz w:val="24"/>
          <w:szCs w:val="24"/>
          <w:lang w:val="en-GB"/>
        </w:rPr>
      </w:pPr>
      <w:r w:rsidRPr="00813E2C">
        <w:rPr>
          <w:rFonts w:ascii="Times New Roman" w:hAnsi="Times New Roman"/>
          <w:iCs/>
          <w:sz w:val="24"/>
          <w:szCs w:val="24"/>
          <w:lang w:val="en-GB"/>
        </w:rPr>
        <w:t>In this respect, the principle of the rule of law seems to undergo a significant transformation once it is applied to the European institutions</w:t>
      </w:r>
      <w:r>
        <w:rPr>
          <w:rFonts w:ascii="Times New Roman" w:hAnsi="Times New Roman"/>
          <w:iCs/>
          <w:sz w:val="24"/>
          <w:szCs w:val="24"/>
          <w:lang w:val="en-GB"/>
        </w:rPr>
        <w:t>. W</w:t>
      </w:r>
      <w:r w:rsidRPr="00813E2C">
        <w:rPr>
          <w:rFonts w:ascii="Times New Roman" w:hAnsi="Times New Roman"/>
          <w:iCs/>
          <w:sz w:val="24"/>
          <w:szCs w:val="24"/>
          <w:lang w:val="en-GB"/>
        </w:rPr>
        <w:t xml:space="preserve">hile, in the national setting, the rule of law is generally conceived as a principle that limits the pre-existing coercive powers of the state, at the European level it appears to be a principle that constitutes and justifies the authority of the Community institutions. </w:t>
      </w:r>
    </w:p>
    <w:p w:rsidR="005E6612" w:rsidRDefault="005E6612" w:rsidP="00B27D8E">
      <w:pPr>
        <w:spacing w:line="240" w:lineRule="auto"/>
        <w:jc w:val="both"/>
        <w:rPr>
          <w:rFonts w:ascii="Times New Roman" w:hAnsi="Times New Roman"/>
          <w:iCs/>
          <w:sz w:val="24"/>
          <w:szCs w:val="24"/>
          <w:lang w:val="en-GB"/>
        </w:rPr>
      </w:pPr>
    </w:p>
    <w:p w:rsidR="005E6612" w:rsidRPr="00813E2C" w:rsidRDefault="005E6612" w:rsidP="00B27D8E">
      <w:pPr>
        <w:spacing w:line="240" w:lineRule="auto"/>
        <w:jc w:val="both"/>
        <w:rPr>
          <w:rFonts w:ascii="Times New Roman" w:hAnsi="Times New Roman"/>
          <w:iCs/>
          <w:sz w:val="24"/>
          <w:szCs w:val="24"/>
          <w:lang w:val="en-GB"/>
        </w:rPr>
      </w:pPr>
      <w:r w:rsidRPr="002065E9">
        <w:rPr>
          <w:rFonts w:ascii="Times New Roman" w:hAnsi="Times New Roman"/>
          <w:iCs/>
          <w:sz w:val="24"/>
          <w:szCs w:val="24"/>
          <w:lang w:val="en-GB"/>
        </w:rPr>
        <w:t xml:space="preserve">D. </w:t>
      </w:r>
      <w:r w:rsidRPr="002065E9">
        <w:rPr>
          <w:rFonts w:ascii="Times New Roman" w:hAnsi="Times New Roman"/>
          <w:iCs/>
          <w:smallCaps/>
          <w:sz w:val="24"/>
          <w:szCs w:val="24"/>
          <w:lang w:val="en-GB"/>
        </w:rPr>
        <w:t>The Context of Constitutional Reasoning</w:t>
      </w:r>
    </w:p>
    <w:p w:rsidR="005E6612" w:rsidRPr="00B56230" w:rsidRDefault="005E6612" w:rsidP="00B27D8E">
      <w:pPr>
        <w:spacing w:line="240" w:lineRule="auto"/>
        <w:jc w:val="both"/>
        <w:rPr>
          <w:rFonts w:ascii="Times New Roman" w:hAnsi="Times New Roman"/>
          <w:i/>
          <w:iCs/>
          <w:sz w:val="24"/>
          <w:szCs w:val="24"/>
          <w:lang w:val="en-GB"/>
        </w:rPr>
      </w:pPr>
      <w:r>
        <w:rPr>
          <w:rFonts w:ascii="Times New Roman" w:hAnsi="Times New Roman"/>
          <w:iCs/>
          <w:sz w:val="24"/>
          <w:szCs w:val="24"/>
          <w:lang w:val="en-GB"/>
        </w:rPr>
        <w:t xml:space="preserve">1. </w:t>
      </w:r>
      <w:r w:rsidRPr="00B56230">
        <w:rPr>
          <w:rFonts w:ascii="Times New Roman" w:hAnsi="Times New Roman"/>
          <w:i/>
          <w:iCs/>
          <w:sz w:val="24"/>
          <w:szCs w:val="24"/>
          <w:lang w:val="en-GB"/>
        </w:rPr>
        <w:t xml:space="preserve">Academic context: legal scholarship as context for constitutional reasoning </w:t>
      </w:r>
    </w:p>
    <w:p w:rsidR="005E6612" w:rsidRPr="00B56230" w:rsidRDefault="005E6612" w:rsidP="00B27D8E">
      <w:pPr>
        <w:spacing w:line="240" w:lineRule="auto"/>
        <w:jc w:val="both"/>
        <w:rPr>
          <w:rFonts w:ascii="Times New Roman" w:hAnsi="Times New Roman"/>
          <w:iCs/>
          <w:sz w:val="24"/>
          <w:szCs w:val="24"/>
          <w:lang w:val="en-GB"/>
        </w:rPr>
      </w:pPr>
      <w:r w:rsidRPr="00B56230">
        <w:rPr>
          <w:rFonts w:ascii="Times New Roman" w:hAnsi="Times New Roman"/>
          <w:iCs/>
          <w:sz w:val="24"/>
          <w:szCs w:val="24"/>
          <w:lang w:val="en-GB"/>
        </w:rPr>
        <w:t xml:space="preserve">The attitude of legal scholarship towards the </w:t>
      </w:r>
      <w:r w:rsidRPr="003D634E">
        <w:rPr>
          <w:rFonts w:ascii="Times New Roman" w:hAnsi="Times New Roman"/>
          <w:iCs/>
          <w:sz w:val="24"/>
          <w:szCs w:val="24"/>
          <w:lang w:val="en-GB"/>
        </w:rPr>
        <w:t>Court of Justice</w:t>
      </w:r>
      <w:r w:rsidRPr="00B56230">
        <w:rPr>
          <w:rFonts w:ascii="Times New Roman" w:hAnsi="Times New Roman"/>
          <w:iCs/>
          <w:sz w:val="24"/>
          <w:szCs w:val="24"/>
          <w:lang w:val="en-GB"/>
        </w:rPr>
        <w:t xml:space="preserve"> changed over the course of time. As Joseph Weiler noted, until the publication in 1986 of </w:t>
      </w:r>
      <w:r w:rsidRPr="00B56230">
        <w:rPr>
          <w:rFonts w:ascii="Times New Roman" w:hAnsi="Times New Roman"/>
          <w:iCs/>
          <w:sz w:val="24"/>
          <w:szCs w:val="24"/>
          <w:lang w:val="hu-HU"/>
        </w:rPr>
        <w:t xml:space="preserve">Hjalte </w:t>
      </w:r>
      <w:r w:rsidRPr="00B56230">
        <w:rPr>
          <w:rFonts w:ascii="Times New Roman" w:hAnsi="Times New Roman"/>
          <w:iCs/>
          <w:sz w:val="24"/>
          <w:szCs w:val="24"/>
          <w:lang w:val="en-GB"/>
        </w:rPr>
        <w:t xml:space="preserve">Rasmussen’s </w:t>
      </w:r>
      <w:r w:rsidR="00CC7606">
        <w:rPr>
          <w:rFonts w:ascii="Times New Roman" w:hAnsi="Times New Roman"/>
          <w:iCs/>
          <w:sz w:val="24"/>
          <w:szCs w:val="24"/>
          <w:lang w:val="en-GB"/>
        </w:rPr>
        <w:fldChar w:fldCharType="begin"/>
      </w:r>
      <w:r w:rsidRPr="00B56230">
        <w:rPr>
          <w:rFonts w:ascii="Times New Roman" w:hAnsi="Times New Roman"/>
          <w:iCs/>
          <w:sz w:val="24"/>
          <w:szCs w:val="24"/>
          <w:lang w:val="en-GB"/>
        </w:rPr>
        <w:instrText>xe "Rasmussen, H."</w:instrText>
      </w:r>
      <w:r w:rsidR="00CC7606">
        <w:rPr>
          <w:rFonts w:ascii="Times New Roman" w:hAnsi="Times New Roman"/>
          <w:iCs/>
          <w:sz w:val="24"/>
          <w:szCs w:val="24"/>
          <w:lang w:val="en-GB"/>
        </w:rPr>
        <w:fldChar w:fldCharType="end"/>
      </w:r>
      <w:r w:rsidRPr="00B56230">
        <w:rPr>
          <w:rFonts w:ascii="Times New Roman" w:hAnsi="Times New Roman"/>
          <w:i/>
          <w:iCs/>
          <w:sz w:val="24"/>
          <w:szCs w:val="24"/>
          <w:lang w:val="en-GB"/>
        </w:rPr>
        <w:t>On Law and Policy in the European Court of Justice</w:t>
      </w:r>
      <w:r w:rsidRPr="00B56230">
        <w:rPr>
          <w:rFonts w:ascii="Times New Roman" w:hAnsi="Times New Roman"/>
          <w:iCs/>
          <w:sz w:val="24"/>
          <w:szCs w:val="24"/>
          <w:lang w:val="en-GB"/>
        </w:rPr>
        <w:t xml:space="preserve">, in virtually all books on the </w:t>
      </w:r>
      <w:r w:rsidRPr="003D634E">
        <w:rPr>
          <w:rFonts w:ascii="Times New Roman" w:hAnsi="Times New Roman"/>
          <w:iCs/>
          <w:sz w:val="24"/>
          <w:szCs w:val="24"/>
          <w:lang w:val="en-GB"/>
        </w:rPr>
        <w:t>Court of Justice</w:t>
      </w:r>
      <w:r w:rsidRPr="00B56230">
        <w:rPr>
          <w:rFonts w:ascii="Times New Roman" w:hAnsi="Times New Roman"/>
          <w:iCs/>
          <w:sz w:val="24"/>
          <w:szCs w:val="24"/>
          <w:lang w:val="en-GB"/>
        </w:rPr>
        <w:t xml:space="preserve"> </w:t>
      </w:r>
      <w:r>
        <w:rPr>
          <w:rFonts w:ascii="Times New Roman" w:hAnsi="Times New Roman"/>
          <w:iCs/>
          <w:sz w:val="24"/>
          <w:szCs w:val="24"/>
          <w:lang w:val="en-GB"/>
        </w:rPr>
        <w:t>‘</w:t>
      </w:r>
      <w:r w:rsidRPr="00B56230">
        <w:rPr>
          <w:rFonts w:ascii="Times New Roman" w:hAnsi="Times New Roman"/>
          <w:iCs/>
          <w:sz w:val="24"/>
          <w:szCs w:val="24"/>
          <w:lang w:val="en-GB"/>
        </w:rPr>
        <w:t>the underlying ethos [was] one of praise and admiration</w:t>
      </w:r>
      <w:r>
        <w:rPr>
          <w:rFonts w:ascii="Times New Roman" w:hAnsi="Times New Roman"/>
          <w:iCs/>
          <w:sz w:val="24"/>
          <w:szCs w:val="24"/>
          <w:lang w:val="en-GB"/>
        </w:rPr>
        <w:t>’</w:t>
      </w:r>
      <w:r w:rsidRPr="00B56230">
        <w:rPr>
          <w:rFonts w:ascii="Times New Roman" w:hAnsi="Times New Roman"/>
          <w:iCs/>
          <w:sz w:val="24"/>
          <w:szCs w:val="24"/>
          <w:lang w:val="en-GB"/>
        </w:rPr>
        <w:t xml:space="preserve"> and criticism of the Court was </w:t>
      </w:r>
      <w:r>
        <w:rPr>
          <w:rFonts w:ascii="Times New Roman" w:hAnsi="Times New Roman"/>
          <w:iCs/>
          <w:sz w:val="24"/>
          <w:szCs w:val="24"/>
          <w:lang w:val="en-GB"/>
        </w:rPr>
        <w:t>‘</w:t>
      </w:r>
      <w:r w:rsidRPr="00B56230">
        <w:rPr>
          <w:rFonts w:ascii="Times New Roman" w:hAnsi="Times New Roman"/>
          <w:iCs/>
          <w:sz w:val="24"/>
          <w:szCs w:val="24"/>
          <w:lang w:val="en-GB"/>
        </w:rPr>
        <w:t xml:space="preserve">muted and on most occasions </w:t>
      </w:r>
      <w:r w:rsidRPr="00B56230">
        <w:rPr>
          <w:rFonts w:ascii="Times New Roman" w:hAnsi="Times New Roman"/>
          <w:iCs/>
          <w:sz w:val="24"/>
          <w:szCs w:val="24"/>
          <w:lang w:val="en-GB"/>
        </w:rPr>
        <w:lastRenderedPageBreak/>
        <w:t>confined to specific cases or areas of jurisprudence and not the overall posture of the court</w:t>
      </w:r>
      <w:r>
        <w:rPr>
          <w:rFonts w:ascii="Times New Roman" w:hAnsi="Times New Roman"/>
          <w:iCs/>
          <w:sz w:val="24"/>
          <w:szCs w:val="24"/>
          <w:lang w:val="en-GB"/>
        </w:rPr>
        <w:t>’</w:t>
      </w:r>
      <w:r w:rsidRPr="00B56230">
        <w:rPr>
          <w:rFonts w:ascii="Times New Roman" w:hAnsi="Times New Roman"/>
          <w:iCs/>
          <w:sz w:val="24"/>
          <w:szCs w:val="24"/>
          <w:lang w:val="en-GB"/>
        </w:rPr>
        <w:t>.</w:t>
      </w:r>
      <w:r w:rsidRPr="00B56230">
        <w:rPr>
          <w:rFonts w:ascii="Times New Roman" w:hAnsi="Times New Roman"/>
          <w:iCs/>
          <w:sz w:val="24"/>
          <w:szCs w:val="24"/>
          <w:vertAlign w:val="superscript"/>
          <w:lang w:val="en-GB"/>
        </w:rPr>
        <w:footnoteReference w:id="143"/>
      </w:r>
      <w:r w:rsidRPr="00B56230">
        <w:rPr>
          <w:rFonts w:ascii="Times New Roman" w:hAnsi="Times New Roman"/>
          <w:iCs/>
          <w:sz w:val="24"/>
          <w:szCs w:val="24"/>
          <w:lang w:val="en-GB"/>
        </w:rPr>
        <w:t xml:space="preserve"> The legal doctrine surrounding the Court was highly supportive of its constitutionalising efforts. All the landmark decisions of the </w:t>
      </w:r>
      <w:r w:rsidRPr="003D634E">
        <w:rPr>
          <w:rFonts w:ascii="Times New Roman" w:hAnsi="Times New Roman"/>
          <w:iCs/>
          <w:sz w:val="24"/>
          <w:szCs w:val="24"/>
          <w:lang w:val="en-GB"/>
        </w:rPr>
        <w:t xml:space="preserve">Court </w:t>
      </w:r>
      <w:r w:rsidRPr="00B56230">
        <w:rPr>
          <w:rFonts w:ascii="Times New Roman" w:hAnsi="Times New Roman"/>
          <w:iCs/>
          <w:sz w:val="24"/>
          <w:szCs w:val="24"/>
          <w:lang w:val="en-GB"/>
        </w:rPr>
        <w:t xml:space="preserve">in the 1960s and 1970s were welcomed by the enthusiastic support of a </w:t>
      </w:r>
      <w:r>
        <w:rPr>
          <w:rFonts w:ascii="Times New Roman" w:hAnsi="Times New Roman"/>
          <w:iCs/>
          <w:sz w:val="24"/>
          <w:szCs w:val="24"/>
          <w:lang w:val="en-GB"/>
        </w:rPr>
        <w:t>‘</w:t>
      </w:r>
      <w:r w:rsidRPr="00B56230">
        <w:rPr>
          <w:rFonts w:ascii="Times New Roman" w:hAnsi="Times New Roman"/>
          <w:iCs/>
          <w:sz w:val="24"/>
          <w:szCs w:val="24"/>
          <w:lang w:val="en-GB"/>
        </w:rPr>
        <w:t>comprehensive transnational network of European minded jurists</w:t>
      </w:r>
      <w:r>
        <w:rPr>
          <w:rFonts w:ascii="Times New Roman" w:hAnsi="Times New Roman"/>
          <w:iCs/>
          <w:sz w:val="24"/>
          <w:szCs w:val="24"/>
          <w:lang w:val="en-GB"/>
        </w:rPr>
        <w:t>’</w:t>
      </w:r>
      <w:r w:rsidRPr="00B56230">
        <w:rPr>
          <w:rFonts w:ascii="Times New Roman" w:hAnsi="Times New Roman"/>
          <w:iCs/>
          <w:sz w:val="24"/>
          <w:szCs w:val="24"/>
          <w:vertAlign w:val="superscript"/>
          <w:lang w:val="en-GB"/>
        </w:rPr>
        <w:footnoteReference w:id="144"/>
      </w:r>
      <w:r w:rsidRPr="00B56230">
        <w:rPr>
          <w:rFonts w:ascii="Times New Roman" w:hAnsi="Times New Roman"/>
          <w:iCs/>
          <w:sz w:val="24"/>
          <w:szCs w:val="24"/>
          <w:lang w:val="en-GB"/>
        </w:rPr>
        <w:t>: a relatively small group of scholars, often professionally involved in the EC institutions, who were very active in terms of publications as well as very homogeneous in terms of professional ethos and value choices. Dissenting voices were usually confined to the few writings of the traditional academic jurists, who were more prestigious in terms of cultural legitimacy but ultimately un-influential on the developments of the case law.</w:t>
      </w:r>
      <w:r w:rsidRPr="00B56230">
        <w:rPr>
          <w:rFonts w:ascii="Times New Roman" w:hAnsi="Times New Roman"/>
          <w:iCs/>
          <w:sz w:val="24"/>
          <w:szCs w:val="24"/>
          <w:vertAlign w:val="superscript"/>
          <w:lang w:val="en-GB"/>
        </w:rPr>
        <w:footnoteReference w:id="145"/>
      </w:r>
    </w:p>
    <w:p w:rsidR="005E6612" w:rsidRPr="00B56230" w:rsidRDefault="005E6612" w:rsidP="00B27D8E">
      <w:pPr>
        <w:spacing w:line="240" w:lineRule="auto"/>
        <w:jc w:val="both"/>
        <w:rPr>
          <w:rFonts w:ascii="Times New Roman" w:hAnsi="Times New Roman"/>
          <w:iCs/>
          <w:sz w:val="24"/>
          <w:szCs w:val="24"/>
          <w:lang w:val="en-GB"/>
        </w:rPr>
      </w:pPr>
      <w:r w:rsidRPr="00B56230">
        <w:rPr>
          <w:rFonts w:ascii="Times New Roman" w:hAnsi="Times New Roman"/>
          <w:iCs/>
          <w:sz w:val="24"/>
          <w:szCs w:val="24"/>
          <w:lang w:val="en-GB"/>
        </w:rPr>
        <w:t xml:space="preserve">Following the Maastricht Treaty (1992), the attitude of the legal doctrine started to change fast. As the political relevance of the European institutions significantly increased, the academic interest and the quantitative dimension of the EU legal scholarship grew enormously. The composition of the EU legal scholarship changed and became more internally differentiated both with regard to the methodological perspectives (traditional expository jurisprudence and legal dogmatics were now joined by the new </w:t>
      </w:r>
      <w:r>
        <w:rPr>
          <w:rFonts w:ascii="Times New Roman" w:hAnsi="Times New Roman"/>
          <w:iCs/>
          <w:sz w:val="24"/>
          <w:szCs w:val="24"/>
          <w:lang w:val="en-GB"/>
        </w:rPr>
        <w:t>‘</w:t>
      </w:r>
      <w:r w:rsidRPr="00B56230">
        <w:rPr>
          <w:rFonts w:ascii="Times New Roman" w:hAnsi="Times New Roman"/>
          <w:iCs/>
          <w:sz w:val="24"/>
          <w:szCs w:val="24"/>
          <w:lang w:val="en-GB"/>
        </w:rPr>
        <w:t>law in context</w:t>
      </w:r>
      <w:r>
        <w:rPr>
          <w:rFonts w:ascii="Times New Roman" w:hAnsi="Times New Roman"/>
          <w:iCs/>
          <w:sz w:val="24"/>
          <w:szCs w:val="24"/>
          <w:lang w:val="en-GB"/>
        </w:rPr>
        <w:t>’</w:t>
      </w:r>
      <w:r w:rsidRPr="00B56230">
        <w:rPr>
          <w:rFonts w:ascii="Times New Roman" w:hAnsi="Times New Roman"/>
          <w:iCs/>
          <w:sz w:val="24"/>
          <w:szCs w:val="24"/>
          <w:lang w:val="en-GB"/>
        </w:rPr>
        <w:t xml:space="preserve"> tendencies of a legal scholarship informed by political science, by the new constitutionalist and </w:t>
      </w:r>
      <w:r>
        <w:rPr>
          <w:rFonts w:ascii="Times New Roman" w:hAnsi="Times New Roman"/>
          <w:iCs/>
          <w:sz w:val="24"/>
          <w:szCs w:val="24"/>
          <w:lang w:val="en-GB"/>
        </w:rPr>
        <w:t>‘</w:t>
      </w:r>
      <w:r w:rsidRPr="00B56230">
        <w:rPr>
          <w:rFonts w:ascii="Times New Roman" w:hAnsi="Times New Roman"/>
          <w:iCs/>
          <w:sz w:val="24"/>
          <w:szCs w:val="24"/>
          <w:lang w:val="en-GB"/>
        </w:rPr>
        <w:t>principled</w:t>
      </w:r>
      <w:r>
        <w:rPr>
          <w:rFonts w:ascii="Times New Roman" w:hAnsi="Times New Roman"/>
          <w:iCs/>
          <w:sz w:val="24"/>
          <w:szCs w:val="24"/>
          <w:lang w:val="en-GB"/>
        </w:rPr>
        <w:t>’</w:t>
      </w:r>
      <w:r w:rsidRPr="00B56230">
        <w:rPr>
          <w:rFonts w:ascii="Times New Roman" w:hAnsi="Times New Roman"/>
          <w:iCs/>
          <w:sz w:val="24"/>
          <w:szCs w:val="24"/>
          <w:lang w:val="en-GB"/>
        </w:rPr>
        <w:t xml:space="preserve"> approaches characteristic of a normatively oriented jurisprudence, and by cultural and critical legal studies) and with regard to normative assessments of the </w:t>
      </w:r>
      <w:r w:rsidRPr="003D634E">
        <w:rPr>
          <w:rFonts w:ascii="Times New Roman" w:hAnsi="Times New Roman"/>
          <w:iCs/>
          <w:sz w:val="24"/>
          <w:szCs w:val="24"/>
          <w:lang w:val="en-GB"/>
        </w:rPr>
        <w:t>Court of Justice</w:t>
      </w:r>
      <w:r w:rsidRPr="00B56230">
        <w:rPr>
          <w:rFonts w:ascii="Times New Roman" w:hAnsi="Times New Roman"/>
          <w:iCs/>
          <w:sz w:val="24"/>
          <w:szCs w:val="24"/>
          <w:lang w:val="en-GB"/>
        </w:rPr>
        <w:t>’s role and case law.</w:t>
      </w:r>
      <w:r w:rsidRPr="00B56230">
        <w:rPr>
          <w:rFonts w:ascii="Times New Roman" w:hAnsi="Times New Roman"/>
          <w:iCs/>
          <w:sz w:val="24"/>
          <w:szCs w:val="24"/>
          <w:vertAlign w:val="superscript"/>
          <w:lang w:val="en-GB"/>
        </w:rPr>
        <w:footnoteReference w:id="146"/>
      </w:r>
      <w:r w:rsidRPr="00B56230">
        <w:rPr>
          <w:rFonts w:ascii="Times New Roman" w:hAnsi="Times New Roman"/>
          <w:iCs/>
          <w:sz w:val="24"/>
          <w:szCs w:val="24"/>
          <w:lang w:val="en-GB"/>
        </w:rPr>
        <w:t xml:space="preserve"> Today’s legal doctrine is far less deferential towards the </w:t>
      </w:r>
      <w:r w:rsidRPr="003D634E">
        <w:rPr>
          <w:rFonts w:ascii="Times New Roman" w:hAnsi="Times New Roman"/>
          <w:iCs/>
          <w:sz w:val="24"/>
          <w:szCs w:val="24"/>
          <w:lang w:val="en-GB"/>
        </w:rPr>
        <w:t xml:space="preserve">Court </w:t>
      </w:r>
      <w:r w:rsidRPr="00B56230">
        <w:rPr>
          <w:rFonts w:ascii="Times New Roman" w:hAnsi="Times New Roman"/>
          <w:iCs/>
          <w:sz w:val="24"/>
          <w:szCs w:val="24"/>
          <w:lang w:val="en-GB"/>
        </w:rPr>
        <w:t xml:space="preserve">than it used to be. Indeed, it seems fair to say that almost every piece of legal doctrine dealing with the </w:t>
      </w:r>
      <w:r w:rsidRPr="003D634E">
        <w:rPr>
          <w:rFonts w:ascii="Times New Roman" w:hAnsi="Times New Roman"/>
          <w:iCs/>
          <w:sz w:val="24"/>
          <w:szCs w:val="24"/>
          <w:lang w:val="en-GB"/>
        </w:rPr>
        <w:t xml:space="preserve">Court </w:t>
      </w:r>
      <w:r w:rsidRPr="00B56230">
        <w:rPr>
          <w:rFonts w:ascii="Times New Roman" w:hAnsi="Times New Roman"/>
          <w:iCs/>
          <w:sz w:val="24"/>
          <w:szCs w:val="24"/>
          <w:lang w:val="en-GB"/>
        </w:rPr>
        <w:t xml:space="preserve">must now contain, in order to be appealing and publishable, a normative (better, critical) assessment of certain aspects of </w:t>
      </w:r>
      <w:r>
        <w:rPr>
          <w:rFonts w:ascii="Times New Roman" w:hAnsi="Times New Roman"/>
          <w:iCs/>
          <w:sz w:val="24"/>
          <w:szCs w:val="24"/>
          <w:lang w:val="en-GB"/>
        </w:rPr>
        <w:t>its</w:t>
      </w:r>
      <w:r w:rsidRPr="00B56230">
        <w:rPr>
          <w:rFonts w:ascii="Times New Roman" w:hAnsi="Times New Roman"/>
          <w:iCs/>
          <w:sz w:val="24"/>
          <w:szCs w:val="24"/>
          <w:lang w:val="en-GB"/>
        </w:rPr>
        <w:t xml:space="preserve"> case law. </w:t>
      </w:r>
    </w:p>
    <w:p w:rsidR="005E6612" w:rsidRPr="00B56230" w:rsidRDefault="005E6612" w:rsidP="00B27D8E">
      <w:pPr>
        <w:spacing w:line="240" w:lineRule="auto"/>
        <w:jc w:val="both"/>
        <w:rPr>
          <w:rFonts w:ascii="Times New Roman" w:hAnsi="Times New Roman"/>
          <w:i/>
          <w:iCs/>
          <w:sz w:val="24"/>
          <w:szCs w:val="24"/>
          <w:lang w:val="en-GB"/>
        </w:rPr>
      </w:pPr>
      <w:r>
        <w:rPr>
          <w:rFonts w:ascii="Times New Roman" w:hAnsi="Times New Roman"/>
          <w:iCs/>
          <w:sz w:val="24"/>
          <w:szCs w:val="24"/>
          <w:lang w:val="en-GB"/>
        </w:rPr>
        <w:t xml:space="preserve">2. </w:t>
      </w:r>
      <w:r w:rsidRPr="00B56230">
        <w:rPr>
          <w:rFonts w:ascii="Times New Roman" w:hAnsi="Times New Roman"/>
          <w:i/>
          <w:iCs/>
          <w:sz w:val="24"/>
          <w:szCs w:val="24"/>
          <w:lang w:val="en-GB"/>
        </w:rPr>
        <w:t>Legal and political culture as context for constitutional reasoning</w:t>
      </w:r>
    </w:p>
    <w:p w:rsidR="005E6612" w:rsidRPr="00B56230" w:rsidRDefault="005E6612" w:rsidP="00B27D8E">
      <w:pPr>
        <w:spacing w:line="240" w:lineRule="auto"/>
        <w:jc w:val="both"/>
        <w:rPr>
          <w:rFonts w:ascii="Times New Roman" w:hAnsi="Times New Roman"/>
          <w:iCs/>
          <w:sz w:val="24"/>
          <w:szCs w:val="24"/>
          <w:lang w:val="en-GB"/>
        </w:rPr>
      </w:pPr>
      <w:r w:rsidRPr="00B56230">
        <w:rPr>
          <w:rFonts w:ascii="Times New Roman" w:hAnsi="Times New Roman"/>
          <w:iCs/>
          <w:sz w:val="24"/>
          <w:szCs w:val="24"/>
          <w:lang w:val="en-GB"/>
        </w:rPr>
        <w:t xml:space="preserve">In the 1990s, political science and international relations theory engaged in a debate on the degree of responsiveness of the </w:t>
      </w:r>
      <w:r w:rsidRPr="003D634E">
        <w:rPr>
          <w:rFonts w:ascii="Times New Roman" w:hAnsi="Times New Roman"/>
          <w:iCs/>
          <w:sz w:val="24"/>
          <w:szCs w:val="24"/>
          <w:lang w:val="en-GB"/>
        </w:rPr>
        <w:t>Court of Justice</w:t>
      </w:r>
      <w:r w:rsidRPr="00B56230">
        <w:rPr>
          <w:rFonts w:ascii="Times New Roman" w:hAnsi="Times New Roman"/>
          <w:iCs/>
          <w:sz w:val="24"/>
          <w:szCs w:val="24"/>
          <w:lang w:val="en-GB"/>
        </w:rPr>
        <w:t xml:space="preserve"> to perceived national interests and to other environmental factors. Theorists inspired by realism (or intergovernmentalism)</w:t>
      </w:r>
      <w:r w:rsidRPr="00B56230">
        <w:rPr>
          <w:rFonts w:ascii="Times New Roman" w:hAnsi="Times New Roman"/>
          <w:iCs/>
          <w:sz w:val="24"/>
          <w:szCs w:val="24"/>
          <w:vertAlign w:val="superscript"/>
          <w:lang w:val="en-GB"/>
        </w:rPr>
        <w:t xml:space="preserve"> </w:t>
      </w:r>
      <w:r w:rsidRPr="00B56230">
        <w:rPr>
          <w:rFonts w:ascii="Times New Roman" w:hAnsi="Times New Roman"/>
          <w:iCs/>
          <w:sz w:val="24"/>
          <w:szCs w:val="24"/>
          <w:lang w:val="en-GB"/>
        </w:rPr>
        <w:t xml:space="preserve">opposed a neo-functionalist interpretation of the </w:t>
      </w:r>
      <w:r w:rsidRPr="003D634E">
        <w:rPr>
          <w:rFonts w:ascii="Times New Roman" w:hAnsi="Times New Roman"/>
          <w:iCs/>
          <w:sz w:val="24"/>
          <w:szCs w:val="24"/>
          <w:lang w:val="en-GB"/>
        </w:rPr>
        <w:t>Court</w:t>
      </w:r>
      <w:r w:rsidRPr="00B56230">
        <w:rPr>
          <w:rFonts w:ascii="Times New Roman" w:hAnsi="Times New Roman"/>
          <w:iCs/>
          <w:sz w:val="24"/>
          <w:szCs w:val="24"/>
          <w:lang w:val="en-GB"/>
        </w:rPr>
        <w:t>’s role in European integration according to which the driving forces of the constitutionalisation process successfully initiated by the Court in the 1960s and 1970s were to be traced not in the national interests but in the inputs coming from private litigants (mainly private companies and professional associations) and from lower-ranked national courts.</w:t>
      </w:r>
      <w:r w:rsidRPr="00B56230">
        <w:rPr>
          <w:rFonts w:ascii="Times New Roman" w:hAnsi="Times New Roman"/>
          <w:iCs/>
          <w:sz w:val="24"/>
          <w:szCs w:val="24"/>
          <w:vertAlign w:val="superscript"/>
          <w:lang w:val="en-GB"/>
        </w:rPr>
        <w:footnoteReference w:id="147"/>
      </w:r>
      <w:r w:rsidRPr="00B56230">
        <w:rPr>
          <w:rFonts w:ascii="Times New Roman" w:hAnsi="Times New Roman"/>
          <w:iCs/>
          <w:sz w:val="24"/>
          <w:szCs w:val="24"/>
          <w:lang w:val="en-GB"/>
        </w:rPr>
        <w:t xml:space="preserve"> While the debate did not reach any firm conclusions, it is undeniable that the Court exercised its most active and creative role after the </w:t>
      </w:r>
      <w:r>
        <w:rPr>
          <w:rFonts w:ascii="Times New Roman" w:hAnsi="Times New Roman"/>
          <w:iCs/>
          <w:sz w:val="24"/>
          <w:szCs w:val="24"/>
          <w:lang w:val="en-GB"/>
        </w:rPr>
        <w:t>‘</w:t>
      </w:r>
      <w:r w:rsidRPr="00B56230">
        <w:rPr>
          <w:rFonts w:ascii="Times New Roman" w:hAnsi="Times New Roman"/>
          <w:iCs/>
          <w:sz w:val="24"/>
          <w:szCs w:val="24"/>
          <w:lang w:val="en-GB"/>
        </w:rPr>
        <w:t>Empty Chair Crisis</w:t>
      </w:r>
      <w:r>
        <w:rPr>
          <w:rFonts w:ascii="Times New Roman" w:hAnsi="Times New Roman"/>
          <w:iCs/>
          <w:sz w:val="24"/>
          <w:szCs w:val="24"/>
          <w:lang w:val="en-GB"/>
        </w:rPr>
        <w:t>’</w:t>
      </w:r>
      <w:r w:rsidRPr="00B56230">
        <w:rPr>
          <w:rFonts w:ascii="Times New Roman" w:hAnsi="Times New Roman"/>
          <w:iCs/>
          <w:sz w:val="24"/>
          <w:szCs w:val="24"/>
          <w:lang w:val="en-GB"/>
        </w:rPr>
        <w:t xml:space="preserve"> (1965-1966), which provoked the end of any ambition of political protagonism by the Commission (until the Delors presidency in 1985-1994), a long-lasting legislative gridlock at European level and the so-called </w:t>
      </w:r>
      <w:r>
        <w:rPr>
          <w:rFonts w:ascii="Times New Roman" w:hAnsi="Times New Roman"/>
          <w:iCs/>
          <w:sz w:val="24"/>
          <w:szCs w:val="24"/>
          <w:lang w:val="en-GB"/>
        </w:rPr>
        <w:t>‘</w:t>
      </w:r>
      <w:r w:rsidRPr="00B56230">
        <w:rPr>
          <w:rFonts w:ascii="Times New Roman" w:hAnsi="Times New Roman"/>
          <w:bCs/>
          <w:iCs/>
          <w:sz w:val="24"/>
          <w:szCs w:val="24"/>
          <w:lang w:val="hu-HU"/>
        </w:rPr>
        <w:t>Eurosclerosis</w:t>
      </w:r>
      <w:r>
        <w:rPr>
          <w:rFonts w:ascii="Times New Roman" w:hAnsi="Times New Roman"/>
          <w:iCs/>
          <w:sz w:val="24"/>
          <w:szCs w:val="24"/>
          <w:lang w:val="en-GB"/>
        </w:rPr>
        <w:t>’</w:t>
      </w:r>
      <w:r w:rsidRPr="00B56230">
        <w:rPr>
          <w:rFonts w:ascii="Times New Roman" w:hAnsi="Times New Roman"/>
          <w:iCs/>
          <w:sz w:val="24"/>
          <w:szCs w:val="24"/>
          <w:lang w:val="en-GB"/>
        </w:rPr>
        <w:t xml:space="preserve"> – the perceived stagnation of the Community project. According to a famous interpretation by Jospeh Weiler, the end of the </w:t>
      </w:r>
      <w:r>
        <w:rPr>
          <w:rFonts w:ascii="Times New Roman" w:hAnsi="Times New Roman"/>
          <w:iCs/>
          <w:sz w:val="24"/>
          <w:szCs w:val="24"/>
          <w:lang w:val="en-GB"/>
        </w:rPr>
        <w:t>‘</w:t>
      </w:r>
      <w:r w:rsidRPr="00B56230">
        <w:rPr>
          <w:rFonts w:ascii="Times New Roman" w:hAnsi="Times New Roman"/>
          <w:iCs/>
          <w:sz w:val="24"/>
          <w:szCs w:val="24"/>
          <w:lang w:val="en-GB"/>
        </w:rPr>
        <w:t>institutional supranationalism</w:t>
      </w:r>
      <w:r>
        <w:rPr>
          <w:rFonts w:ascii="Times New Roman" w:hAnsi="Times New Roman"/>
          <w:iCs/>
          <w:sz w:val="24"/>
          <w:szCs w:val="24"/>
          <w:lang w:val="en-GB"/>
        </w:rPr>
        <w:t>’</w:t>
      </w:r>
      <w:r w:rsidRPr="00B56230">
        <w:rPr>
          <w:rFonts w:ascii="Times New Roman" w:hAnsi="Times New Roman"/>
          <w:iCs/>
          <w:sz w:val="24"/>
          <w:szCs w:val="24"/>
          <w:lang w:val="en-GB"/>
        </w:rPr>
        <w:t xml:space="preserve"> determined by the Empty Chair Crisis triggered the Court to strengthen </w:t>
      </w:r>
      <w:r>
        <w:rPr>
          <w:rFonts w:ascii="Times New Roman" w:hAnsi="Times New Roman"/>
          <w:iCs/>
          <w:sz w:val="24"/>
          <w:szCs w:val="24"/>
          <w:lang w:val="en-GB"/>
        </w:rPr>
        <w:t>‘</w:t>
      </w:r>
      <w:r w:rsidRPr="00B56230">
        <w:rPr>
          <w:rFonts w:ascii="Times New Roman" w:hAnsi="Times New Roman"/>
          <w:iCs/>
          <w:sz w:val="24"/>
          <w:szCs w:val="24"/>
          <w:lang w:val="en-GB"/>
        </w:rPr>
        <w:t>normative supranationalism</w:t>
      </w:r>
      <w:r>
        <w:rPr>
          <w:rFonts w:ascii="Times New Roman" w:hAnsi="Times New Roman"/>
          <w:iCs/>
          <w:sz w:val="24"/>
          <w:szCs w:val="24"/>
          <w:lang w:val="en-GB"/>
        </w:rPr>
        <w:t>’</w:t>
      </w:r>
      <w:r w:rsidRPr="00B56230">
        <w:rPr>
          <w:rFonts w:ascii="Times New Roman" w:hAnsi="Times New Roman"/>
          <w:iCs/>
          <w:sz w:val="24"/>
          <w:szCs w:val="24"/>
          <w:lang w:val="en-GB"/>
        </w:rPr>
        <w:t xml:space="preserve"> by pursuing the politics of the judicial </w:t>
      </w:r>
      <w:r w:rsidRPr="00B56230">
        <w:rPr>
          <w:rFonts w:ascii="Times New Roman" w:hAnsi="Times New Roman"/>
          <w:iCs/>
          <w:sz w:val="24"/>
          <w:szCs w:val="24"/>
          <w:lang w:val="en-GB"/>
        </w:rPr>
        <w:lastRenderedPageBreak/>
        <w:t>constitutionalisation of the EC Treaties.</w:t>
      </w:r>
      <w:r w:rsidRPr="00B56230">
        <w:rPr>
          <w:rFonts w:ascii="Times New Roman" w:hAnsi="Times New Roman"/>
          <w:iCs/>
          <w:sz w:val="24"/>
          <w:szCs w:val="24"/>
          <w:vertAlign w:val="superscript"/>
          <w:lang w:val="en-GB"/>
        </w:rPr>
        <w:footnoteReference w:id="148"/>
      </w:r>
      <w:r w:rsidRPr="00B56230">
        <w:rPr>
          <w:rFonts w:ascii="Times New Roman" w:hAnsi="Times New Roman"/>
          <w:iCs/>
          <w:sz w:val="24"/>
          <w:szCs w:val="24"/>
          <w:lang w:val="en-GB"/>
        </w:rPr>
        <w:t xml:space="preserve"> In turn, following the Maastricht Treaty and the beginning of the </w:t>
      </w:r>
      <w:r>
        <w:rPr>
          <w:rFonts w:ascii="Times New Roman" w:hAnsi="Times New Roman"/>
          <w:iCs/>
          <w:sz w:val="24"/>
          <w:szCs w:val="24"/>
          <w:lang w:val="en-GB"/>
        </w:rPr>
        <w:t>‘</w:t>
      </w:r>
      <w:r w:rsidRPr="00B56230">
        <w:rPr>
          <w:rFonts w:ascii="Times New Roman" w:hAnsi="Times New Roman"/>
          <w:iCs/>
          <w:sz w:val="24"/>
          <w:szCs w:val="24"/>
          <w:lang w:val="en-GB"/>
        </w:rPr>
        <w:t>semi-permanent Treaty revision process</w:t>
      </w:r>
      <w:r>
        <w:rPr>
          <w:rFonts w:ascii="Times New Roman" w:hAnsi="Times New Roman"/>
          <w:iCs/>
          <w:sz w:val="24"/>
          <w:szCs w:val="24"/>
          <w:lang w:val="en-GB"/>
        </w:rPr>
        <w:t>’</w:t>
      </w:r>
      <w:r w:rsidRPr="00B56230">
        <w:rPr>
          <w:rFonts w:ascii="Times New Roman" w:hAnsi="Times New Roman"/>
          <w:iCs/>
          <w:sz w:val="24"/>
          <w:szCs w:val="24"/>
          <w:lang w:val="en-GB"/>
        </w:rPr>
        <w:t>,</w:t>
      </w:r>
      <w:r w:rsidRPr="00B56230">
        <w:rPr>
          <w:rFonts w:ascii="Times New Roman" w:hAnsi="Times New Roman"/>
          <w:iCs/>
          <w:sz w:val="24"/>
          <w:szCs w:val="24"/>
          <w:vertAlign w:val="superscript"/>
          <w:lang w:val="en-GB"/>
        </w:rPr>
        <w:footnoteReference w:id="149"/>
      </w:r>
      <w:r w:rsidRPr="00B56230">
        <w:rPr>
          <w:rFonts w:ascii="Times New Roman" w:hAnsi="Times New Roman"/>
          <w:iCs/>
          <w:sz w:val="24"/>
          <w:szCs w:val="24"/>
          <w:lang w:val="en-GB"/>
        </w:rPr>
        <w:t xml:space="preserve"> the approach of the Court changed significantly</w:t>
      </w:r>
      <w:r>
        <w:rPr>
          <w:rFonts w:ascii="Times New Roman" w:hAnsi="Times New Roman"/>
          <w:iCs/>
          <w:sz w:val="24"/>
          <w:szCs w:val="24"/>
          <w:lang w:val="en-GB"/>
        </w:rPr>
        <w:t xml:space="preserve">: it </w:t>
      </w:r>
      <w:r w:rsidRPr="00B56230">
        <w:rPr>
          <w:rFonts w:ascii="Times New Roman" w:hAnsi="Times New Roman"/>
          <w:iCs/>
          <w:sz w:val="24"/>
          <w:szCs w:val="24"/>
          <w:lang w:val="en-GB"/>
        </w:rPr>
        <w:t>became more cautious and sometimes committed to self-restraint.</w:t>
      </w:r>
      <w:r w:rsidRPr="00B56230">
        <w:rPr>
          <w:rFonts w:ascii="Times New Roman" w:hAnsi="Times New Roman"/>
          <w:iCs/>
          <w:sz w:val="24"/>
          <w:szCs w:val="24"/>
          <w:vertAlign w:val="superscript"/>
          <w:lang w:val="en-GB"/>
        </w:rPr>
        <w:footnoteReference w:id="150"/>
      </w:r>
      <w:r w:rsidRPr="00B56230">
        <w:rPr>
          <w:rFonts w:ascii="Times New Roman" w:hAnsi="Times New Roman"/>
          <w:iCs/>
          <w:sz w:val="24"/>
          <w:szCs w:val="24"/>
          <w:lang w:val="en-GB"/>
        </w:rPr>
        <w:t xml:space="preserve"> The closer scrutiny on the </w:t>
      </w:r>
      <w:r w:rsidRPr="003D634E">
        <w:rPr>
          <w:rFonts w:ascii="Times New Roman" w:hAnsi="Times New Roman"/>
          <w:iCs/>
          <w:sz w:val="24"/>
          <w:szCs w:val="24"/>
          <w:lang w:val="en-GB"/>
        </w:rPr>
        <w:t xml:space="preserve">Court </w:t>
      </w:r>
      <w:r w:rsidRPr="00B56230">
        <w:rPr>
          <w:rFonts w:ascii="Times New Roman" w:hAnsi="Times New Roman"/>
          <w:iCs/>
          <w:sz w:val="24"/>
          <w:szCs w:val="24"/>
          <w:lang w:val="en-GB"/>
        </w:rPr>
        <w:t xml:space="preserve">exercised by an enlarged and not always friendly legal community </w:t>
      </w:r>
      <w:r>
        <w:rPr>
          <w:rFonts w:ascii="Times New Roman" w:hAnsi="Times New Roman"/>
          <w:iCs/>
          <w:sz w:val="24"/>
          <w:szCs w:val="24"/>
          <w:lang w:val="en-GB"/>
        </w:rPr>
        <w:t>is likely to</w:t>
      </w:r>
      <w:r w:rsidRPr="00B56230">
        <w:rPr>
          <w:rFonts w:ascii="Times New Roman" w:hAnsi="Times New Roman"/>
          <w:iCs/>
          <w:sz w:val="24"/>
          <w:szCs w:val="24"/>
          <w:lang w:val="en-GB"/>
        </w:rPr>
        <w:t xml:space="preserve"> have had an influence on the changing attitude of the Court.</w:t>
      </w:r>
    </w:p>
    <w:p w:rsidR="005E6612" w:rsidRPr="00813E2C" w:rsidRDefault="005E6612" w:rsidP="00B27D8E">
      <w:pPr>
        <w:spacing w:line="240" w:lineRule="auto"/>
        <w:jc w:val="both"/>
        <w:rPr>
          <w:rFonts w:ascii="Times New Roman" w:hAnsi="Times New Roman"/>
          <w:bCs/>
          <w:iCs/>
          <w:sz w:val="24"/>
          <w:szCs w:val="24"/>
          <w:shd w:val="clear" w:color="auto" w:fill="FFFFFF"/>
          <w:lang w:val="en-GB"/>
        </w:rPr>
      </w:pPr>
      <w:r>
        <w:rPr>
          <w:rFonts w:ascii="Times New Roman" w:hAnsi="Times New Roman"/>
          <w:iCs/>
          <w:sz w:val="24"/>
          <w:szCs w:val="24"/>
          <w:lang w:val="en-GB"/>
        </w:rPr>
        <w:br w:type="column"/>
      </w:r>
      <w:r>
        <w:rPr>
          <w:rFonts w:ascii="Times New Roman" w:hAnsi="Times New Roman"/>
          <w:iCs/>
          <w:sz w:val="24"/>
          <w:szCs w:val="24"/>
          <w:lang w:val="en-GB"/>
        </w:rPr>
        <w:lastRenderedPageBreak/>
        <w:t>E</w:t>
      </w:r>
      <w:r w:rsidRPr="00813E2C">
        <w:rPr>
          <w:rFonts w:ascii="Times New Roman" w:hAnsi="Times New Roman"/>
          <w:iCs/>
          <w:sz w:val="24"/>
          <w:szCs w:val="24"/>
          <w:lang w:val="en-GB"/>
        </w:rPr>
        <w:t xml:space="preserve">. </w:t>
      </w:r>
      <w:r w:rsidRPr="00813E2C">
        <w:rPr>
          <w:rFonts w:ascii="Times New Roman" w:hAnsi="Times New Roman"/>
          <w:smallCaps/>
          <w:sz w:val="24"/>
          <w:szCs w:val="24"/>
          <w:lang w:val="en-GB"/>
        </w:rPr>
        <w:t>General characteristics of the constitutional discourse</w:t>
      </w:r>
    </w:p>
    <w:p w:rsidR="005E6612" w:rsidRPr="00805F4B"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The general style of the Court’s legal reasoning</w:t>
      </w:r>
      <w:r>
        <w:rPr>
          <w:rStyle w:val="Rimandonotaapidipagina"/>
          <w:rFonts w:ascii="Times New Roman" w:hAnsi="Times New Roman"/>
          <w:sz w:val="24"/>
          <w:szCs w:val="24"/>
          <w:lang w:val="en-GB"/>
        </w:rPr>
        <w:footnoteReference w:id="151"/>
      </w:r>
      <w:r w:rsidRPr="00813E2C">
        <w:rPr>
          <w:rFonts w:ascii="Times New Roman" w:hAnsi="Times New Roman"/>
          <w:sz w:val="24"/>
          <w:szCs w:val="24"/>
          <w:lang w:val="en-GB"/>
        </w:rPr>
        <w:t xml:space="preserve"> depends </w:t>
      </w:r>
      <w:r>
        <w:rPr>
          <w:rFonts w:ascii="Times New Roman" w:hAnsi="Times New Roman"/>
          <w:sz w:val="24"/>
          <w:szCs w:val="24"/>
          <w:lang w:val="en-GB"/>
        </w:rPr>
        <w:t xml:space="preserve">on a series of </w:t>
      </w:r>
      <w:r w:rsidRPr="00813E2C">
        <w:rPr>
          <w:rFonts w:ascii="Times New Roman" w:hAnsi="Times New Roman"/>
          <w:sz w:val="24"/>
          <w:szCs w:val="24"/>
          <w:lang w:val="en-GB"/>
        </w:rPr>
        <w:t xml:space="preserve">factors which will be </w:t>
      </w:r>
      <w:r w:rsidRPr="00805F4B">
        <w:rPr>
          <w:rFonts w:ascii="Times New Roman" w:hAnsi="Times New Roman"/>
          <w:sz w:val="24"/>
          <w:szCs w:val="24"/>
          <w:lang w:val="en-GB"/>
        </w:rPr>
        <w:t xml:space="preserve">briefly presented here: the collegiate nature of the </w:t>
      </w:r>
      <w:r>
        <w:rPr>
          <w:rFonts w:ascii="Times New Roman" w:hAnsi="Times New Roman"/>
          <w:sz w:val="24"/>
          <w:szCs w:val="24"/>
          <w:lang w:val="en-GB"/>
        </w:rPr>
        <w:t>judgme</w:t>
      </w:r>
      <w:r w:rsidRPr="00805F4B">
        <w:rPr>
          <w:rFonts w:ascii="Times New Roman" w:hAnsi="Times New Roman"/>
          <w:sz w:val="24"/>
          <w:szCs w:val="24"/>
          <w:lang w:val="en-GB"/>
        </w:rPr>
        <w:t xml:space="preserve">nts of the </w:t>
      </w:r>
      <w:r w:rsidRPr="003D634E">
        <w:rPr>
          <w:rFonts w:ascii="Times New Roman" w:hAnsi="Times New Roman"/>
          <w:sz w:val="24"/>
          <w:szCs w:val="24"/>
          <w:lang w:val="en-GB"/>
        </w:rPr>
        <w:t>Court of Justice</w:t>
      </w:r>
      <w:r w:rsidRPr="00805F4B">
        <w:rPr>
          <w:rFonts w:ascii="Times New Roman" w:hAnsi="Times New Roman"/>
          <w:sz w:val="24"/>
          <w:szCs w:val="24"/>
          <w:lang w:val="en-GB"/>
        </w:rPr>
        <w:t xml:space="preserve">, their subject matter, the </w:t>
      </w:r>
      <w:r w:rsidRPr="00805F4B">
        <w:rPr>
          <w:rFonts w:ascii="Times New Roman" w:hAnsi="Times New Roman"/>
          <w:iCs/>
          <w:sz w:val="24"/>
          <w:szCs w:val="24"/>
          <w:lang w:val="en-GB"/>
        </w:rPr>
        <w:t>declining but persisting</w:t>
      </w:r>
      <w:r w:rsidRPr="00805F4B">
        <w:rPr>
          <w:rFonts w:ascii="Times New Roman" w:hAnsi="Times New Roman"/>
          <w:sz w:val="24"/>
          <w:szCs w:val="24"/>
          <w:lang w:val="en-GB"/>
        </w:rPr>
        <w:t xml:space="preserve"> influence of the French model, the need for translation and informatisation, the extensive use of precedents and literal self-quotation</w:t>
      </w:r>
      <w:r>
        <w:rPr>
          <w:rFonts w:ascii="Times New Roman" w:hAnsi="Times New Roman"/>
          <w:sz w:val="24"/>
          <w:szCs w:val="24"/>
          <w:lang w:val="en-GB"/>
        </w:rPr>
        <w:t>s,</w:t>
      </w:r>
      <w:r w:rsidRPr="00805F4B">
        <w:rPr>
          <w:rFonts w:ascii="Times New Roman" w:hAnsi="Times New Roman"/>
          <w:sz w:val="24"/>
          <w:szCs w:val="24"/>
          <w:lang w:val="en-GB"/>
        </w:rPr>
        <w:t xml:space="preserve"> </w:t>
      </w:r>
      <w:r>
        <w:rPr>
          <w:rFonts w:ascii="Times New Roman" w:hAnsi="Times New Roman"/>
          <w:sz w:val="24"/>
          <w:szCs w:val="24"/>
          <w:lang w:val="en-GB"/>
        </w:rPr>
        <w:t xml:space="preserve">and </w:t>
      </w:r>
      <w:r w:rsidRPr="00805F4B">
        <w:rPr>
          <w:rFonts w:ascii="Times New Roman" w:hAnsi="Times New Roman"/>
          <w:sz w:val="24"/>
          <w:szCs w:val="24"/>
          <w:lang w:val="en-GB"/>
        </w:rPr>
        <w:t>the contradictory and unsettled</w:t>
      </w:r>
      <w:r>
        <w:rPr>
          <w:rFonts w:ascii="Times New Roman" w:hAnsi="Times New Roman"/>
          <w:sz w:val="24"/>
          <w:szCs w:val="24"/>
          <w:lang w:val="en-GB"/>
        </w:rPr>
        <w:t xml:space="preserve"> status of the </w:t>
      </w:r>
      <w:r w:rsidRPr="003D634E">
        <w:rPr>
          <w:rFonts w:ascii="Times New Roman" w:hAnsi="Times New Roman"/>
          <w:sz w:val="24"/>
          <w:szCs w:val="24"/>
          <w:lang w:val="en-GB"/>
        </w:rPr>
        <w:t>Court of Justice</w:t>
      </w:r>
      <w:r>
        <w:rPr>
          <w:rFonts w:ascii="Times New Roman" w:hAnsi="Times New Roman"/>
          <w:sz w:val="24"/>
          <w:szCs w:val="24"/>
          <w:lang w:val="en-GB"/>
        </w:rPr>
        <w:t xml:space="preserve"> as </w:t>
      </w:r>
      <w:r w:rsidRPr="00813E2C">
        <w:rPr>
          <w:rFonts w:ascii="Times New Roman" w:hAnsi="Times New Roman"/>
          <w:i/>
          <w:sz w:val="24"/>
          <w:szCs w:val="24"/>
          <w:lang w:val="en-GB"/>
        </w:rPr>
        <w:t>sensu lato</w:t>
      </w:r>
      <w:r>
        <w:rPr>
          <w:rFonts w:ascii="Times New Roman" w:hAnsi="Times New Roman"/>
          <w:i/>
          <w:sz w:val="24"/>
          <w:szCs w:val="24"/>
          <w:lang w:val="en-GB"/>
        </w:rPr>
        <w:t xml:space="preserve"> </w:t>
      </w:r>
      <w:r>
        <w:rPr>
          <w:rFonts w:ascii="Times New Roman" w:hAnsi="Times New Roman"/>
          <w:sz w:val="24"/>
          <w:szCs w:val="24"/>
          <w:lang w:val="en-GB"/>
        </w:rPr>
        <w:t>constitutional court of the European legal space.</w:t>
      </w:r>
    </w:p>
    <w:p w:rsidR="005E6612" w:rsidRPr="00813E2C" w:rsidRDefault="005E6612" w:rsidP="00B27D8E">
      <w:pPr>
        <w:spacing w:line="240" w:lineRule="auto"/>
        <w:jc w:val="both"/>
        <w:rPr>
          <w:rFonts w:ascii="Times New Roman" w:hAnsi="Times New Roman"/>
          <w:i/>
          <w:sz w:val="24"/>
          <w:szCs w:val="24"/>
          <w:lang w:val="en-GB"/>
        </w:rPr>
      </w:pPr>
      <w:r w:rsidRPr="00813E2C">
        <w:rPr>
          <w:rFonts w:ascii="Times New Roman" w:hAnsi="Times New Roman"/>
          <w:sz w:val="24"/>
          <w:szCs w:val="24"/>
          <w:lang w:val="en-GB"/>
        </w:rPr>
        <w:t xml:space="preserve">1. </w:t>
      </w:r>
      <w:r w:rsidRPr="00813E2C">
        <w:rPr>
          <w:rFonts w:ascii="Times New Roman" w:hAnsi="Times New Roman"/>
          <w:i/>
          <w:sz w:val="24"/>
          <w:szCs w:val="24"/>
          <w:lang w:val="en-GB"/>
        </w:rPr>
        <w:t xml:space="preserve">The collegiate nature of the </w:t>
      </w:r>
      <w:r>
        <w:rPr>
          <w:rFonts w:ascii="Times New Roman" w:hAnsi="Times New Roman"/>
          <w:i/>
          <w:sz w:val="24"/>
          <w:szCs w:val="24"/>
          <w:lang w:val="en-GB"/>
        </w:rPr>
        <w:t>judgme</w:t>
      </w:r>
      <w:r w:rsidRPr="00813E2C">
        <w:rPr>
          <w:rFonts w:ascii="Times New Roman" w:hAnsi="Times New Roman"/>
          <w:i/>
          <w:sz w:val="24"/>
          <w:szCs w:val="24"/>
          <w:lang w:val="en-GB"/>
        </w:rPr>
        <w:t>nt</w:t>
      </w:r>
      <w:r>
        <w:rPr>
          <w:rFonts w:ascii="Times New Roman" w:hAnsi="Times New Roman"/>
          <w:i/>
          <w:sz w:val="24"/>
          <w:szCs w:val="24"/>
          <w:lang w:val="en-GB"/>
        </w:rPr>
        <w:t>s</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The first factor consists in the committee decision-making procedure adopted by the Court, which is typical of European civil law jurisdictions. The collegiate nature of the </w:t>
      </w:r>
      <w:r>
        <w:rPr>
          <w:rFonts w:ascii="Times New Roman" w:hAnsi="Times New Roman"/>
          <w:sz w:val="24"/>
          <w:szCs w:val="24"/>
          <w:lang w:val="en-GB"/>
        </w:rPr>
        <w:t>judgme</w:t>
      </w:r>
      <w:r w:rsidRPr="00813E2C">
        <w:rPr>
          <w:rFonts w:ascii="Times New Roman" w:hAnsi="Times New Roman"/>
          <w:sz w:val="24"/>
          <w:szCs w:val="24"/>
          <w:lang w:val="en-GB"/>
        </w:rPr>
        <w:t xml:space="preserve">nt implies that dissenting opinions are not allowed and the decision is the outcome of the collective work of the whole collegium. Moreover, within the Court the attempt is usually made to achieve the broadest possible consensus. This </w:t>
      </w:r>
      <w:r>
        <w:rPr>
          <w:rFonts w:ascii="Times New Roman" w:hAnsi="Times New Roman"/>
          <w:sz w:val="24"/>
          <w:szCs w:val="24"/>
          <w:lang w:val="en-GB"/>
        </w:rPr>
        <w:t xml:space="preserve">affects </w:t>
      </w:r>
      <w:r w:rsidRPr="00813E2C">
        <w:rPr>
          <w:rFonts w:ascii="Times New Roman" w:hAnsi="Times New Roman"/>
          <w:sz w:val="24"/>
          <w:szCs w:val="24"/>
          <w:lang w:val="en-GB"/>
        </w:rPr>
        <w:t xml:space="preserve">the quality of the legal reasoning developed by the Court: in the words of one </w:t>
      </w:r>
      <w:r>
        <w:rPr>
          <w:rFonts w:ascii="Times New Roman" w:hAnsi="Times New Roman"/>
          <w:sz w:val="24"/>
          <w:szCs w:val="24"/>
          <w:lang w:val="en-GB"/>
        </w:rPr>
        <w:t xml:space="preserve">of its </w:t>
      </w:r>
      <w:r w:rsidRPr="00813E2C">
        <w:rPr>
          <w:rFonts w:ascii="Times New Roman" w:hAnsi="Times New Roman"/>
          <w:sz w:val="24"/>
          <w:szCs w:val="24"/>
          <w:lang w:val="en-GB"/>
        </w:rPr>
        <w:t>judge</w:t>
      </w:r>
      <w:r>
        <w:rPr>
          <w:rFonts w:ascii="Times New Roman" w:hAnsi="Times New Roman"/>
          <w:sz w:val="24"/>
          <w:szCs w:val="24"/>
          <w:lang w:val="en-GB"/>
        </w:rPr>
        <w:t xml:space="preserve">s, Pierre Pescatore, </w:t>
      </w:r>
    </w:p>
    <w:p w:rsidR="005E6612" w:rsidRPr="00313C3B" w:rsidRDefault="005E6612" w:rsidP="00313C3B">
      <w:pPr>
        <w:spacing w:line="240" w:lineRule="auto"/>
        <w:ind w:left="708"/>
        <w:jc w:val="both"/>
        <w:rPr>
          <w:rFonts w:ascii="Times New Roman" w:hAnsi="Times New Roman"/>
          <w:sz w:val="20"/>
          <w:szCs w:val="20"/>
          <w:lang w:val="en-GB"/>
        </w:rPr>
      </w:pPr>
      <w:r w:rsidRPr="00313C3B">
        <w:rPr>
          <w:rFonts w:ascii="Times New Roman" w:hAnsi="Times New Roman"/>
          <w:sz w:val="20"/>
          <w:szCs w:val="20"/>
          <w:lang w:val="en-GB"/>
        </w:rPr>
        <w:t>the system of collegiate deliberation adopted by the Statute of the Court has the consequence of ‘laminating’ the grounds of the judgment up to the point that they lose every relief. We are far away from the colour of the judgments of the English judges.</w:t>
      </w:r>
      <w:r w:rsidRPr="00313C3B">
        <w:rPr>
          <w:rFonts w:ascii="Times New Roman" w:hAnsi="Times New Roman"/>
          <w:sz w:val="20"/>
          <w:szCs w:val="20"/>
          <w:vertAlign w:val="superscript"/>
          <w:lang w:val="en-GB"/>
        </w:rPr>
        <w:footnoteReference w:id="152"/>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Especially to common law eyes, the Court seems to confirm the old saying that a camel is a horse desi</w:t>
      </w:r>
      <w:r>
        <w:rPr>
          <w:rFonts w:ascii="Times New Roman" w:hAnsi="Times New Roman"/>
          <w:sz w:val="24"/>
          <w:szCs w:val="24"/>
          <w:lang w:val="en-GB"/>
        </w:rPr>
        <w:t>gned by a committee.</w:t>
      </w:r>
      <w:r w:rsidRPr="00813E2C">
        <w:rPr>
          <w:rStyle w:val="Rimandonotaapidipagina"/>
          <w:rFonts w:ascii="Times New Roman" w:hAnsi="Times New Roman"/>
          <w:sz w:val="24"/>
          <w:szCs w:val="24"/>
          <w:lang w:val="en-GB"/>
        </w:rPr>
        <w:footnoteReference w:id="153"/>
      </w:r>
      <w:r w:rsidRPr="00813E2C">
        <w:rPr>
          <w:rFonts w:ascii="Times New Roman" w:hAnsi="Times New Roman"/>
          <w:sz w:val="24"/>
          <w:szCs w:val="24"/>
          <w:lang w:val="en-GB"/>
        </w:rPr>
        <w:t xml:space="preserve"> </w:t>
      </w:r>
      <w:r>
        <w:rPr>
          <w:rFonts w:ascii="Times New Roman" w:hAnsi="Times New Roman"/>
          <w:sz w:val="24"/>
          <w:szCs w:val="24"/>
          <w:lang w:val="en-GB"/>
        </w:rPr>
        <w:t>As another judge of the Court once noted, the ‘</w:t>
      </w:r>
      <w:r w:rsidRPr="00813E2C">
        <w:rPr>
          <w:rFonts w:ascii="Times New Roman" w:hAnsi="Times New Roman"/>
          <w:sz w:val="24"/>
          <w:szCs w:val="24"/>
          <w:lang w:val="en-GB"/>
        </w:rPr>
        <w:t>need to render judgments that are acceptable to all the signatories</w:t>
      </w:r>
      <w:r>
        <w:rPr>
          <w:rFonts w:ascii="Times New Roman" w:hAnsi="Times New Roman"/>
          <w:sz w:val="24"/>
          <w:szCs w:val="24"/>
          <w:lang w:val="en-GB"/>
        </w:rPr>
        <w:t xml:space="preserve">’ </w:t>
      </w:r>
      <w:r w:rsidRPr="00813E2C">
        <w:rPr>
          <w:rFonts w:ascii="Times New Roman" w:hAnsi="Times New Roman"/>
          <w:sz w:val="24"/>
          <w:szCs w:val="24"/>
          <w:lang w:val="en-GB"/>
        </w:rPr>
        <w:t xml:space="preserve">frequently </w:t>
      </w:r>
      <w:r>
        <w:rPr>
          <w:rFonts w:ascii="Times New Roman" w:hAnsi="Times New Roman"/>
          <w:sz w:val="24"/>
          <w:szCs w:val="24"/>
          <w:lang w:val="en-GB"/>
        </w:rPr>
        <w:t>forces the Court to adopt a ‘</w:t>
      </w:r>
      <w:r w:rsidRPr="00813E2C">
        <w:rPr>
          <w:rFonts w:ascii="Times New Roman" w:hAnsi="Times New Roman"/>
          <w:sz w:val="24"/>
          <w:szCs w:val="24"/>
          <w:lang w:val="en-GB"/>
        </w:rPr>
        <w:t>oracular tone</w:t>
      </w:r>
      <w:r>
        <w:rPr>
          <w:rFonts w:ascii="Times New Roman" w:hAnsi="Times New Roman"/>
          <w:sz w:val="24"/>
          <w:szCs w:val="24"/>
          <w:lang w:val="en-GB"/>
        </w:rPr>
        <w:t>’ and to express ‘</w:t>
      </w:r>
      <w:r w:rsidRPr="00813E2C">
        <w:rPr>
          <w:rFonts w:ascii="Times New Roman" w:hAnsi="Times New Roman"/>
          <w:sz w:val="24"/>
          <w:szCs w:val="24"/>
          <w:lang w:val="en-GB"/>
        </w:rPr>
        <w:t>stunted reasoning</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54"/>
      </w:r>
      <w:r>
        <w:rPr>
          <w:rFonts w:ascii="Times New Roman" w:hAnsi="Times New Roman"/>
          <w:sz w:val="24"/>
          <w:szCs w:val="24"/>
          <w:lang w:val="en-GB"/>
        </w:rPr>
        <w:t xml:space="preserve"> Thus, w</w:t>
      </w:r>
      <w:r w:rsidRPr="00813E2C">
        <w:rPr>
          <w:rFonts w:ascii="Times New Roman" w:hAnsi="Times New Roman"/>
          <w:sz w:val="24"/>
          <w:szCs w:val="24"/>
          <w:lang w:val="en-GB"/>
        </w:rPr>
        <w:t>hen there are two lines of reasoning leading to the same conclusion and there is disagreement within the Court as to what are the best arguments for the case, the Court often adopts a middle-ground solution that, however, might be unsatisfactory for both sides</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55"/>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2. </w:t>
      </w:r>
      <w:r w:rsidRPr="00813E2C">
        <w:rPr>
          <w:rFonts w:ascii="Times New Roman" w:hAnsi="Times New Roman"/>
          <w:i/>
          <w:sz w:val="24"/>
          <w:szCs w:val="24"/>
          <w:lang w:val="en-GB"/>
        </w:rPr>
        <w:t xml:space="preserve">The subject matter of the </w:t>
      </w:r>
      <w:r>
        <w:rPr>
          <w:rFonts w:ascii="Times New Roman" w:hAnsi="Times New Roman"/>
          <w:i/>
          <w:sz w:val="24"/>
          <w:szCs w:val="24"/>
          <w:lang w:val="en-GB"/>
        </w:rPr>
        <w:t>judgme</w:t>
      </w:r>
      <w:r w:rsidRPr="00813E2C">
        <w:rPr>
          <w:rFonts w:ascii="Times New Roman" w:hAnsi="Times New Roman"/>
          <w:i/>
          <w:sz w:val="24"/>
          <w:szCs w:val="24"/>
          <w:lang w:val="en-GB"/>
        </w:rPr>
        <w:t>nts and their non-constitutional tone</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The second element affecting the general style of the </w:t>
      </w:r>
      <w:r>
        <w:rPr>
          <w:rFonts w:ascii="Times New Roman" w:hAnsi="Times New Roman"/>
          <w:sz w:val="24"/>
          <w:szCs w:val="24"/>
          <w:lang w:val="en-GB"/>
        </w:rPr>
        <w:t>judgme</w:t>
      </w:r>
      <w:r w:rsidRPr="00813E2C">
        <w:rPr>
          <w:rFonts w:ascii="Times New Roman" w:hAnsi="Times New Roman"/>
          <w:sz w:val="24"/>
          <w:szCs w:val="24"/>
          <w:lang w:val="en-GB"/>
        </w:rPr>
        <w:t xml:space="preserve">nts of the </w:t>
      </w:r>
      <w:r w:rsidRPr="003D634E">
        <w:rPr>
          <w:rFonts w:ascii="Times New Roman" w:hAnsi="Times New Roman"/>
          <w:sz w:val="24"/>
          <w:szCs w:val="24"/>
          <w:lang w:val="en-GB"/>
        </w:rPr>
        <w:t xml:space="preserve">Court </w:t>
      </w:r>
      <w:r w:rsidRPr="00813E2C">
        <w:rPr>
          <w:rFonts w:ascii="Times New Roman" w:hAnsi="Times New Roman"/>
          <w:sz w:val="24"/>
          <w:szCs w:val="24"/>
          <w:lang w:val="en-GB"/>
        </w:rPr>
        <w:t xml:space="preserve">depends on their subject matter. The majority of the </w:t>
      </w:r>
      <w:r>
        <w:rPr>
          <w:rFonts w:ascii="Times New Roman" w:hAnsi="Times New Roman"/>
          <w:sz w:val="24"/>
          <w:szCs w:val="24"/>
          <w:lang w:val="en-GB"/>
        </w:rPr>
        <w:t>Court’</w:t>
      </w:r>
      <w:r w:rsidRPr="00813E2C">
        <w:rPr>
          <w:rFonts w:ascii="Times New Roman" w:hAnsi="Times New Roman"/>
          <w:sz w:val="24"/>
          <w:szCs w:val="24"/>
          <w:lang w:val="en-GB"/>
        </w:rPr>
        <w:t xml:space="preserve">s </w:t>
      </w:r>
      <w:r>
        <w:rPr>
          <w:rFonts w:ascii="Times New Roman" w:hAnsi="Times New Roman"/>
          <w:sz w:val="24"/>
          <w:szCs w:val="24"/>
          <w:lang w:val="en-GB"/>
        </w:rPr>
        <w:t>judgme</w:t>
      </w:r>
      <w:r w:rsidRPr="00813E2C">
        <w:rPr>
          <w:rFonts w:ascii="Times New Roman" w:hAnsi="Times New Roman"/>
          <w:sz w:val="24"/>
          <w:szCs w:val="24"/>
          <w:lang w:val="en-GB"/>
        </w:rPr>
        <w:t xml:space="preserve">nts deal with the daily management of the internal market and thus with detailed and highly technical regulations. </w:t>
      </w:r>
      <w:r>
        <w:rPr>
          <w:rFonts w:ascii="Times New Roman" w:hAnsi="Times New Roman"/>
          <w:sz w:val="24"/>
          <w:szCs w:val="24"/>
          <w:lang w:val="en-GB"/>
        </w:rPr>
        <w:t>T</w:t>
      </w:r>
      <w:r w:rsidRPr="00813E2C">
        <w:rPr>
          <w:rFonts w:ascii="Times New Roman" w:hAnsi="Times New Roman"/>
          <w:sz w:val="24"/>
          <w:szCs w:val="24"/>
          <w:lang w:val="en-GB"/>
        </w:rPr>
        <w:t xml:space="preserve">he </w:t>
      </w:r>
      <w:r>
        <w:rPr>
          <w:rFonts w:ascii="Times New Roman" w:hAnsi="Times New Roman"/>
          <w:sz w:val="24"/>
          <w:szCs w:val="24"/>
          <w:lang w:val="en-GB"/>
        </w:rPr>
        <w:t>judgme</w:t>
      </w:r>
      <w:r w:rsidRPr="00813E2C">
        <w:rPr>
          <w:rFonts w:ascii="Times New Roman" w:hAnsi="Times New Roman"/>
          <w:sz w:val="24"/>
          <w:szCs w:val="24"/>
          <w:lang w:val="en-GB"/>
        </w:rPr>
        <w:t xml:space="preserve">nts that present a constitutional tone are quite rare. </w:t>
      </w:r>
      <w:r>
        <w:rPr>
          <w:rFonts w:ascii="Times New Roman" w:hAnsi="Times New Roman"/>
          <w:sz w:val="24"/>
          <w:szCs w:val="24"/>
          <w:lang w:val="en-GB"/>
        </w:rPr>
        <w:t xml:space="preserve">In turn, it is </w:t>
      </w:r>
      <w:r w:rsidRPr="00813E2C">
        <w:rPr>
          <w:rFonts w:ascii="Times New Roman" w:hAnsi="Times New Roman"/>
          <w:sz w:val="24"/>
          <w:szCs w:val="24"/>
          <w:lang w:val="en-GB"/>
        </w:rPr>
        <w:t xml:space="preserve">not unusual to find </w:t>
      </w:r>
      <w:r>
        <w:rPr>
          <w:rFonts w:ascii="Times New Roman" w:hAnsi="Times New Roman"/>
          <w:sz w:val="24"/>
          <w:szCs w:val="24"/>
          <w:lang w:val="en-GB"/>
        </w:rPr>
        <w:t>judgme</w:t>
      </w:r>
      <w:r w:rsidRPr="00813E2C">
        <w:rPr>
          <w:rFonts w:ascii="Times New Roman" w:hAnsi="Times New Roman"/>
          <w:sz w:val="24"/>
          <w:szCs w:val="24"/>
          <w:lang w:val="en-GB"/>
        </w:rPr>
        <w:t>nts that are concerned with interpretative questions such as “</w:t>
      </w:r>
    </w:p>
    <w:p w:rsidR="005E6612" w:rsidRPr="007F791B" w:rsidRDefault="005E6612" w:rsidP="007F791B">
      <w:pPr>
        <w:spacing w:line="240" w:lineRule="auto"/>
        <w:ind w:left="708"/>
        <w:jc w:val="both"/>
        <w:rPr>
          <w:rFonts w:ascii="Times New Roman" w:hAnsi="Times New Roman"/>
          <w:sz w:val="20"/>
          <w:szCs w:val="20"/>
          <w:lang w:val="en-GB"/>
        </w:rPr>
      </w:pPr>
      <w:r w:rsidRPr="007F791B">
        <w:rPr>
          <w:rFonts w:ascii="Times New Roman" w:hAnsi="Times New Roman"/>
          <w:sz w:val="20"/>
          <w:szCs w:val="20"/>
          <w:lang w:val="en-GB"/>
        </w:rPr>
        <w:lastRenderedPageBreak/>
        <w:t>whether the words ‘emballés séparément’ (packaged separately) refer to ‘morceaux désossés’ (boned or boneless cuts) or whether they refer on the contrary to the exception made for les ‘joues, les abats, le flanchet et le jarret’ (the chaps, the offals, the thin flanks and the shin).</w:t>
      </w:r>
      <w:r w:rsidRPr="007F791B">
        <w:rPr>
          <w:rFonts w:ascii="Times New Roman" w:hAnsi="Times New Roman"/>
          <w:sz w:val="20"/>
          <w:szCs w:val="20"/>
          <w:vertAlign w:val="superscript"/>
          <w:lang w:val="en-GB"/>
        </w:rPr>
        <w:footnoteReference w:id="156"/>
      </w:r>
      <w:r w:rsidRPr="007F791B">
        <w:rPr>
          <w:rFonts w:ascii="Times New Roman" w:hAnsi="Times New Roman"/>
          <w:sz w:val="20"/>
          <w:szCs w:val="20"/>
          <w:lang w:val="en-GB"/>
        </w:rPr>
        <w:t xml:space="preserve"> </w:t>
      </w:r>
    </w:p>
    <w:p w:rsidR="005E6612"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The Court has </w:t>
      </w:r>
      <w:r w:rsidRPr="00813E2C">
        <w:rPr>
          <w:rFonts w:ascii="Times New Roman" w:hAnsi="Times New Roman"/>
          <w:sz w:val="24"/>
          <w:szCs w:val="24"/>
          <w:lang w:val="en-GB"/>
        </w:rPr>
        <w:t>ruled on the distinctive features of slide fasteners</w:t>
      </w:r>
      <w:r w:rsidRPr="00813E2C">
        <w:rPr>
          <w:rFonts w:ascii="Times New Roman" w:hAnsi="Times New Roman"/>
          <w:sz w:val="24"/>
          <w:szCs w:val="24"/>
          <w:vertAlign w:val="superscript"/>
          <w:lang w:val="en-GB"/>
        </w:rPr>
        <w:footnoteReference w:id="157"/>
      </w:r>
      <w:r>
        <w:rPr>
          <w:rFonts w:ascii="Times New Roman" w:hAnsi="Times New Roman"/>
          <w:sz w:val="24"/>
          <w:szCs w:val="24"/>
          <w:lang w:val="en-GB"/>
        </w:rPr>
        <w:t xml:space="preserve"> and </w:t>
      </w:r>
      <w:r w:rsidRPr="00813E2C">
        <w:rPr>
          <w:rFonts w:ascii="Times New Roman" w:hAnsi="Times New Roman"/>
          <w:sz w:val="24"/>
          <w:szCs w:val="24"/>
          <w:lang w:val="en-GB"/>
        </w:rPr>
        <w:t>has carefully reconstructed the manuf</w:t>
      </w:r>
      <w:r>
        <w:rPr>
          <w:rFonts w:ascii="Times New Roman" w:hAnsi="Times New Roman"/>
          <w:sz w:val="24"/>
          <w:szCs w:val="24"/>
          <w:lang w:val="en-GB"/>
        </w:rPr>
        <w:t>acturing process of xanthan gum.</w:t>
      </w:r>
      <w:r w:rsidRPr="00813E2C">
        <w:rPr>
          <w:rFonts w:ascii="Times New Roman" w:hAnsi="Times New Roman"/>
          <w:sz w:val="24"/>
          <w:szCs w:val="24"/>
          <w:vertAlign w:val="superscript"/>
          <w:lang w:val="en-GB"/>
        </w:rPr>
        <w:footnoteReference w:id="158"/>
      </w:r>
      <w:r>
        <w:rPr>
          <w:rFonts w:ascii="Times New Roman" w:hAnsi="Times New Roman"/>
          <w:sz w:val="24"/>
          <w:szCs w:val="24"/>
          <w:lang w:val="en-GB"/>
        </w:rPr>
        <w:t xml:space="preserve"> O</w:t>
      </w:r>
      <w:r w:rsidRPr="00813E2C">
        <w:rPr>
          <w:rFonts w:ascii="Times New Roman" w:hAnsi="Times New Roman"/>
          <w:sz w:val="24"/>
          <w:szCs w:val="24"/>
          <w:lang w:val="en-GB"/>
        </w:rPr>
        <w:t>n more tha</w:t>
      </w:r>
      <w:r>
        <w:rPr>
          <w:rFonts w:ascii="Times New Roman" w:hAnsi="Times New Roman"/>
          <w:sz w:val="24"/>
          <w:szCs w:val="24"/>
          <w:lang w:val="en-GB"/>
        </w:rPr>
        <w:t>n one occasion</w:t>
      </w:r>
      <w:r w:rsidRPr="00813E2C">
        <w:rPr>
          <w:rFonts w:ascii="Times New Roman" w:hAnsi="Times New Roman"/>
          <w:sz w:val="24"/>
          <w:szCs w:val="24"/>
          <w:lang w:val="en-GB"/>
        </w:rPr>
        <w:t xml:space="preserve"> </w:t>
      </w:r>
      <w:r>
        <w:rPr>
          <w:rFonts w:ascii="Times New Roman" w:hAnsi="Times New Roman"/>
          <w:sz w:val="24"/>
          <w:szCs w:val="24"/>
          <w:lang w:val="en-GB"/>
        </w:rPr>
        <w:t xml:space="preserve">it </w:t>
      </w:r>
      <w:r w:rsidRPr="00813E2C">
        <w:rPr>
          <w:rFonts w:ascii="Times New Roman" w:hAnsi="Times New Roman"/>
          <w:sz w:val="24"/>
          <w:szCs w:val="24"/>
          <w:lang w:val="en-GB"/>
        </w:rPr>
        <w:t>has been called to expound the concept of pyjamas</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59"/>
      </w:r>
      <w:r>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True enough, the case law of the </w:t>
      </w:r>
      <w:r w:rsidRPr="003D634E">
        <w:rPr>
          <w:rFonts w:ascii="Times New Roman" w:hAnsi="Times New Roman"/>
          <w:sz w:val="24"/>
          <w:szCs w:val="24"/>
          <w:lang w:val="en-GB"/>
        </w:rPr>
        <w:t xml:space="preserve">Court </w:t>
      </w:r>
      <w:r w:rsidRPr="00813E2C">
        <w:rPr>
          <w:rFonts w:ascii="Times New Roman" w:hAnsi="Times New Roman"/>
          <w:sz w:val="24"/>
          <w:szCs w:val="24"/>
          <w:lang w:val="en-GB"/>
        </w:rPr>
        <w:t>is not short of decisions of the greatest importance</w:t>
      </w:r>
      <w:r>
        <w:rPr>
          <w:rFonts w:ascii="Times New Roman" w:hAnsi="Times New Roman"/>
          <w:sz w:val="24"/>
          <w:szCs w:val="24"/>
          <w:lang w:val="en-GB"/>
        </w:rPr>
        <w:t>,</w:t>
      </w:r>
      <w:r w:rsidRPr="00813E2C">
        <w:rPr>
          <w:rFonts w:ascii="Times New Roman" w:hAnsi="Times New Roman"/>
          <w:sz w:val="24"/>
          <w:szCs w:val="24"/>
          <w:lang w:val="en-GB"/>
        </w:rPr>
        <w:t xml:space="preserve"> </w:t>
      </w:r>
      <w:r>
        <w:rPr>
          <w:rFonts w:ascii="Times New Roman" w:hAnsi="Times New Roman"/>
          <w:sz w:val="24"/>
          <w:szCs w:val="24"/>
          <w:lang w:val="en-GB"/>
        </w:rPr>
        <w:t xml:space="preserve">and </w:t>
      </w:r>
      <w:r w:rsidRPr="00813E2C">
        <w:rPr>
          <w:rFonts w:ascii="Times New Roman" w:hAnsi="Times New Roman"/>
          <w:sz w:val="24"/>
          <w:szCs w:val="24"/>
          <w:lang w:val="en-GB"/>
        </w:rPr>
        <w:t>the Sample analysed by the research includes cases of the utmost constitutional significance. However, g</w:t>
      </w:r>
      <w:r w:rsidRPr="00813E2C">
        <w:rPr>
          <w:rFonts w:ascii="Times New Roman" w:hAnsi="Times New Roman"/>
          <w:iCs/>
          <w:sz w:val="24"/>
          <w:szCs w:val="24"/>
          <w:lang w:val="en-GB"/>
        </w:rPr>
        <w:t xml:space="preserve">enerally speaking, the grounds that the </w:t>
      </w:r>
      <w:r w:rsidRPr="00813E2C">
        <w:rPr>
          <w:rFonts w:ascii="Times New Roman" w:hAnsi="Times New Roman"/>
          <w:sz w:val="24"/>
          <w:szCs w:val="24"/>
          <w:lang w:val="en-GB"/>
        </w:rPr>
        <w:t xml:space="preserve">Court employs in order to decide the constitutional issues upon which it is sometimes called to adjudicate are characterised by a certain understatement. The Court might well be one of the many constitutional courts of the European legal space, but it tends to conceal its status as far as possible. Occasionally in the </w:t>
      </w:r>
      <w:r>
        <w:rPr>
          <w:rFonts w:ascii="Times New Roman" w:hAnsi="Times New Roman"/>
          <w:sz w:val="24"/>
          <w:szCs w:val="24"/>
          <w:lang w:val="en-GB"/>
        </w:rPr>
        <w:t>judgme</w:t>
      </w:r>
      <w:r w:rsidRPr="00813E2C">
        <w:rPr>
          <w:rFonts w:ascii="Times New Roman" w:hAnsi="Times New Roman"/>
          <w:sz w:val="24"/>
          <w:szCs w:val="24"/>
          <w:lang w:val="en-GB"/>
        </w:rPr>
        <w:t xml:space="preserve">nts of the </w:t>
      </w:r>
      <w:r w:rsidRPr="003D634E">
        <w:rPr>
          <w:rFonts w:ascii="Times New Roman" w:hAnsi="Times New Roman"/>
          <w:sz w:val="24"/>
          <w:szCs w:val="24"/>
          <w:lang w:val="en-GB"/>
        </w:rPr>
        <w:t xml:space="preserve">Court </w:t>
      </w:r>
      <w:r w:rsidRPr="00813E2C">
        <w:rPr>
          <w:rFonts w:ascii="Times New Roman" w:hAnsi="Times New Roman"/>
          <w:sz w:val="24"/>
          <w:szCs w:val="24"/>
          <w:lang w:val="en-GB"/>
        </w:rPr>
        <w:t xml:space="preserve">it is possible to find declamatory political statements such as the often-cited </w:t>
      </w:r>
      <w:r w:rsidRPr="00813E2C">
        <w:rPr>
          <w:rFonts w:ascii="Times New Roman" w:hAnsi="Times New Roman"/>
          <w:i/>
          <w:sz w:val="24"/>
          <w:szCs w:val="24"/>
          <w:lang w:val="en-GB"/>
        </w:rPr>
        <w:t>dictum</w:t>
      </w:r>
      <w:r w:rsidRPr="00813E2C">
        <w:rPr>
          <w:rFonts w:ascii="Times New Roman" w:hAnsi="Times New Roman"/>
          <w:sz w:val="24"/>
          <w:szCs w:val="24"/>
          <w:lang w:val="en-GB"/>
        </w:rPr>
        <w:t xml:space="preserve"> in </w:t>
      </w:r>
      <w:r w:rsidRPr="00813E2C">
        <w:rPr>
          <w:rFonts w:ascii="Times New Roman" w:hAnsi="Times New Roman"/>
          <w:i/>
          <w:iCs/>
          <w:sz w:val="24"/>
          <w:szCs w:val="24"/>
          <w:lang w:val="en-GB"/>
        </w:rPr>
        <w:t>Grzelczyk</w:t>
      </w:r>
      <w:r w:rsidRPr="00813E2C">
        <w:rPr>
          <w:rFonts w:ascii="Times New Roman" w:hAnsi="Times New Roman"/>
          <w:sz w:val="24"/>
          <w:szCs w:val="24"/>
          <w:lang w:val="en-GB"/>
        </w:rPr>
        <w:t xml:space="preserve"> (</w:t>
      </w:r>
      <w:r>
        <w:rPr>
          <w:rFonts w:ascii="Times New Roman" w:hAnsi="Times New Roman"/>
          <w:sz w:val="24"/>
          <w:szCs w:val="24"/>
          <w:lang w:val="en-GB"/>
        </w:rPr>
        <w:t>‘</w:t>
      </w:r>
      <w:r w:rsidRPr="00813E2C">
        <w:rPr>
          <w:rFonts w:ascii="Times New Roman" w:hAnsi="Times New Roman"/>
          <w:sz w:val="24"/>
          <w:szCs w:val="24"/>
          <w:lang w:val="en-GB"/>
        </w:rPr>
        <w:t>Union citizenship </w:t>
      </w:r>
      <w:r w:rsidRPr="00813E2C">
        <w:rPr>
          <w:rFonts w:ascii="Times New Roman" w:hAnsi="Times New Roman"/>
          <w:bCs/>
          <w:sz w:val="24"/>
          <w:szCs w:val="24"/>
          <w:lang w:val="en-GB"/>
        </w:rPr>
        <w:t xml:space="preserve">is </w:t>
      </w:r>
      <w:r w:rsidRPr="00813E2C">
        <w:rPr>
          <w:rFonts w:ascii="Times New Roman" w:hAnsi="Times New Roman"/>
          <w:bCs/>
          <w:i/>
          <w:sz w:val="24"/>
          <w:szCs w:val="24"/>
          <w:lang w:val="en-GB"/>
        </w:rPr>
        <w:t>destined</w:t>
      </w:r>
      <w:r w:rsidRPr="00813E2C">
        <w:rPr>
          <w:rFonts w:ascii="Times New Roman" w:hAnsi="Times New Roman"/>
          <w:bCs/>
          <w:sz w:val="24"/>
          <w:szCs w:val="24"/>
          <w:lang w:val="en-GB"/>
        </w:rPr>
        <w:t xml:space="preserve"> to be</w:t>
      </w:r>
      <w:r w:rsidRPr="00813E2C">
        <w:rPr>
          <w:rFonts w:ascii="Times New Roman" w:hAnsi="Times New Roman"/>
          <w:sz w:val="24"/>
          <w:szCs w:val="24"/>
          <w:lang w:val="en-GB"/>
        </w:rPr>
        <w:t> the fundamental status of nationals of the Member States</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60"/>
      </w:r>
      <w:r w:rsidRPr="00813E2C">
        <w:rPr>
          <w:rFonts w:ascii="Times New Roman" w:hAnsi="Times New Roman"/>
          <w:sz w:val="24"/>
          <w:szCs w:val="24"/>
          <w:lang w:val="en-GB"/>
        </w:rPr>
        <w:t xml:space="preserve">), but in principle the Court sticks to a legalistic and unpretentious understanding of the way in which its reasoning ought to be framed. </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The traditional understatement of the Court might well be due to pragmatic reasons. As the authority of the Court depends upon the continuing collaboration of the national courts, it is understandable that, in order to avoid offending their constitutional (national) sensibilities, the Court might be willing to keep a low profile, highlight the strictly technical grounding of its rulings and eschewing constitutional rhetoric. </w:t>
      </w:r>
      <w:r>
        <w:rPr>
          <w:rFonts w:ascii="Times New Roman" w:hAnsi="Times New Roman"/>
          <w:sz w:val="24"/>
          <w:szCs w:val="24"/>
          <w:lang w:val="en-GB"/>
        </w:rPr>
        <w:t xml:space="preserve">After all, in preliminary ruling proceedings on the interpretation of EU law the </w:t>
      </w:r>
      <w:r w:rsidRPr="003D634E">
        <w:rPr>
          <w:rFonts w:ascii="Times New Roman" w:hAnsi="Times New Roman"/>
          <w:sz w:val="24"/>
          <w:szCs w:val="24"/>
          <w:lang w:val="en-GB"/>
        </w:rPr>
        <w:t>Court of Justice</w:t>
      </w:r>
      <w:r>
        <w:rPr>
          <w:rFonts w:ascii="Times New Roman" w:hAnsi="Times New Roman"/>
          <w:sz w:val="24"/>
          <w:szCs w:val="24"/>
          <w:lang w:val="en-GB"/>
        </w:rPr>
        <w:t xml:space="preserve"> is a constitutional court only </w:t>
      </w:r>
      <w:r w:rsidRPr="00813E2C">
        <w:rPr>
          <w:rFonts w:ascii="Times New Roman" w:hAnsi="Times New Roman"/>
          <w:i/>
          <w:sz w:val="24"/>
          <w:szCs w:val="24"/>
          <w:lang w:val="en-GB"/>
        </w:rPr>
        <w:t>sensu lato</w:t>
      </w:r>
      <w:r>
        <w:rPr>
          <w:rFonts w:ascii="Times New Roman" w:hAnsi="Times New Roman"/>
          <w:sz w:val="24"/>
          <w:szCs w:val="24"/>
          <w:lang w:val="en-GB"/>
        </w:rPr>
        <w:t xml:space="preserve"> and its rulings enjoy a supremacy that is conditional and negotiated. </w:t>
      </w:r>
      <w:r w:rsidRPr="00813E2C">
        <w:rPr>
          <w:rFonts w:ascii="Times New Roman" w:hAnsi="Times New Roman"/>
          <w:sz w:val="24"/>
          <w:szCs w:val="24"/>
          <w:lang w:val="en-GB"/>
        </w:rPr>
        <w:t xml:space="preserve">However, the approach of the Court may also have its drawback in terms of legitimacy, as it can easily be interpreted as </w:t>
      </w:r>
      <w:r>
        <w:rPr>
          <w:rFonts w:ascii="Times New Roman" w:hAnsi="Times New Roman"/>
          <w:sz w:val="24"/>
          <w:szCs w:val="24"/>
          <w:lang w:val="en-GB"/>
        </w:rPr>
        <w:t xml:space="preserve">a </w:t>
      </w:r>
      <w:r w:rsidRPr="00813E2C">
        <w:rPr>
          <w:rFonts w:ascii="Times New Roman" w:hAnsi="Times New Roman"/>
          <w:sz w:val="24"/>
          <w:szCs w:val="24"/>
          <w:lang w:val="en-GB"/>
        </w:rPr>
        <w:t xml:space="preserve">lack of constitutional awareness or sensibility. In its characteristic role of promoter and guardian of the internal market, the Court may well appear to disregard the constitutional traditions of the Member States and, more generally, any non-market based legal principles. </w:t>
      </w:r>
    </w:p>
    <w:p w:rsidR="005E6612" w:rsidRDefault="005E6612" w:rsidP="00B27D8E">
      <w:pPr>
        <w:spacing w:line="240" w:lineRule="auto"/>
        <w:jc w:val="both"/>
        <w:rPr>
          <w:rFonts w:ascii="Times New Roman" w:hAnsi="Times New Roman"/>
          <w:bCs/>
          <w:sz w:val="24"/>
          <w:szCs w:val="24"/>
          <w:lang w:val="en-GB"/>
        </w:rPr>
      </w:pPr>
      <w:r w:rsidRPr="00813E2C">
        <w:rPr>
          <w:rFonts w:ascii="Times New Roman" w:hAnsi="Times New Roman"/>
          <w:sz w:val="24"/>
          <w:szCs w:val="24"/>
          <w:lang w:val="en-GB"/>
        </w:rPr>
        <w:t xml:space="preserve"> “</w:t>
      </w:r>
      <w:r>
        <w:rPr>
          <w:rFonts w:ascii="Times New Roman" w:hAnsi="Times New Roman"/>
          <w:sz w:val="24"/>
          <w:szCs w:val="24"/>
          <w:lang w:val="en-GB"/>
        </w:rPr>
        <w:t>T</w:t>
      </w:r>
      <w:r w:rsidRPr="00813E2C">
        <w:rPr>
          <w:rFonts w:ascii="Times New Roman" w:hAnsi="Times New Roman"/>
          <w:sz w:val="24"/>
          <w:szCs w:val="24"/>
          <w:lang w:val="en-GB"/>
        </w:rPr>
        <w:t xml:space="preserve">he </w:t>
      </w:r>
      <w:r w:rsidRPr="00813E2C">
        <w:rPr>
          <w:rFonts w:ascii="Times New Roman" w:hAnsi="Times New Roman"/>
          <w:bCs/>
          <w:sz w:val="24"/>
          <w:szCs w:val="24"/>
          <w:lang w:val="en-GB"/>
        </w:rPr>
        <w:t>cryptic, Cartesian style which still characterizes many of its decisions” and “its pretence of logical legal reasoning and inevitability of results” may not be, according to th</w:t>
      </w:r>
      <w:r>
        <w:rPr>
          <w:rFonts w:ascii="Times New Roman" w:hAnsi="Times New Roman"/>
          <w:bCs/>
          <w:sz w:val="24"/>
          <w:szCs w:val="24"/>
          <w:lang w:val="en-GB"/>
        </w:rPr>
        <w:t>e critics of the Court, “conduc</w:t>
      </w:r>
      <w:r w:rsidRPr="00813E2C">
        <w:rPr>
          <w:rFonts w:ascii="Times New Roman" w:hAnsi="Times New Roman"/>
          <w:bCs/>
          <w:sz w:val="24"/>
          <w:szCs w:val="24"/>
          <w:lang w:val="en-GB"/>
        </w:rPr>
        <w:t>ive to a good conversation with national courts”</w:t>
      </w:r>
      <w:r>
        <w:rPr>
          <w:rFonts w:ascii="Times New Roman" w:hAnsi="Times New Roman"/>
          <w:bCs/>
          <w:sz w:val="24"/>
          <w:szCs w:val="24"/>
          <w:lang w:val="en-GB"/>
        </w:rPr>
        <w:t>.</w:t>
      </w:r>
      <w:r w:rsidRPr="00813E2C">
        <w:rPr>
          <w:rStyle w:val="Rimandonotaapidipagina"/>
          <w:rFonts w:ascii="Times New Roman" w:hAnsi="Times New Roman"/>
          <w:bCs/>
          <w:sz w:val="24"/>
          <w:szCs w:val="24"/>
          <w:lang w:val="en-GB"/>
        </w:rPr>
        <w:footnoteReference w:id="161"/>
      </w:r>
      <w:r w:rsidRPr="00813E2C">
        <w:rPr>
          <w:rFonts w:ascii="Times New Roman" w:hAnsi="Times New Roman"/>
          <w:bCs/>
          <w:sz w:val="24"/>
          <w:szCs w:val="24"/>
          <w:lang w:val="en-GB"/>
        </w:rPr>
        <w:t xml:space="preserve"> According to this criticism, by </w:t>
      </w:r>
      <w:r w:rsidRPr="00813E2C">
        <w:rPr>
          <w:rFonts w:ascii="Times New Roman" w:hAnsi="Times New Roman"/>
          <w:sz w:val="24"/>
          <w:szCs w:val="24"/>
          <w:lang w:val="en-GB"/>
        </w:rPr>
        <w:t>eschewing constitutional rhetoric</w:t>
      </w:r>
      <w:r w:rsidRPr="00813E2C">
        <w:rPr>
          <w:rFonts w:ascii="Times New Roman" w:hAnsi="Times New Roman"/>
          <w:bCs/>
          <w:sz w:val="24"/>
          <w:szCs w:val="24"/>
          <w:lang w:val="en-GB"/>
        </w:rPr>
        <w:t xml:space="preserve"> the Court fa</w:t>
      </w:r>
      <w:r>
        <w:rPr>
          <w:rFonts w:ascii="Times New Roman" w:hAnsi="Times New Roman"/>
          <w:bCs/>
          <w:sz w:val="24"/>
          <w:szCs w:val="24"/>
          <w:lang w:val="en-GB"/>
        </w:rPr>
        <w:t>l</w:t>
      </w:r>
      <w:r w:rsidRPr="00813E2C">
        <w:rPr>
          <w:rFonts w:ascii="Times New Roman" w:hAnsi="Times New Roman"/>
          <w:bCs/>
          <w:sz w:val="24"/>
          <w:szCs w:val="24"/>
          <w:lang w:val="en-GB"/>
        </w:rPr>
        <w:t xml:space="preserve">ls short </w:t>
      </w:r>
      <w:r>
        <w:rPr>
          <w:rFonts w:ascii="Times New Roman" w:hAnsi="Times New Roman"/>
          <w:bCs/>
          <w:sz w:val="24"/>
          <w:szCs w:val="24"/>
          <w:lang w:val="en-GB"/>
        </w:rPr>
        <w:t>of</w:t>
      </w:r>
      <w:r w:rsidRPr="00813E2C">
        <w:rPr>
          <w:rFonts w:ascii="Times New Roman" w:hAnsi="Times New Roman"/>
          <w:bCs/>
          <w:sz w:val="24"/>
          <w:szCs w:val="24"/>
          <w:lang w:val="en-GB"/>
        </w:rPr>
        <w:t xml:space="preserve"> its role of </w:t>
      </w:r>
      <w:r w:rsidRPr="00813E2C">
        <w:rPr>
          <w:rFonts w:ascii="Times New Roman" w:hAnsi="Times New Roman"/>
          <w:i/>
          <w:sz w:val="24"/>
          <w:szCs w:val="24"/>
          <w:lang w:val="en-GB"/>
        </w:rPr>
        <w:t>sensu lato</w:t>
      </w:r>
      <w:r w:rsidRPr="00813E2C">
        <w:rPr>
          <w:rFonts w:ascii="Times New Roman" w:hAnsi="Times New Roman"/>
          <w:sz w:val="24"/>
          <w:szCs w:val="24"/>
          <w:lang w:val="en-GB"/>
        </w:rPr>
        <w:t xml:space="preserve"> constitutional court of the European legal space. In contrast, in </w:t>
      </w:r>
      <w:r w:rsidRPr="00813E2C">
        <w:rPr>
          <w:rFonts w:ascii="Times New Roman" w:hAnsi="Times New Roman"/>
          <w:bCs/>
          <w:sz w:val="24"/>
          <w:szCs w:val="24"/>
          <w:lang w:val="en-GB"/>
        </w:rPr>
        <w:t>order to broaden and deepen the constitutional dialogue with the national courts, the Court should attempt as much as possible to identify and develop the general principles of a common European legal culture.</w:t>
      </w:r>
    </w:p>
    <w:p w:rsidR="005E6612" w:rsidRPr="007B040D" w:rsidRDefault="005E6612" w:rsidP="00B27D8E">
      <w:pPr>
        <w:spacing w:line="240" w:lineRule="auto"/>
        <w:jc w:val="both"/>
        <w:rPr>
          <w:rFonts w:ascii="Times New Roman" w:hAnsi="Times New Roman"/>
          <w:bCs/>
          <w:i/>
          <w:sz w:val="24"/>
          <w:szCs w:val="24"/>
          <w:lang w:val="en-GB"/>
        </w:rPr>
      </w:pPr>
      <w:r>
        <w:rPr>
          <w:rFonts w:ascii="Times New Roman" w:hAnsi="Times New Roman"/>
          <w:bCs/>
          <w:sz w:val="24"/>
          <w:szCs w:val="24"/>
          <w:lang w:val="en-GB"/>
        </w:rPr>
        <w:t xml:space="preserve">3. </w:t>
      </w:r>
      <w:r w:rsidRPr="007B040D">
        <w:rPr>
          <w:rFonts w:ascii="Times New Roman" w:hAnsi="Times New Roman"/>
          <w:bCs/>
          <w:i/>
          <w:sz w:val="24"/>
          <w:szCs w:val="24"/>
          <w:lang w:val="en-GB"/>
        </w:rPr>
        <w:t xml:space="preserve">The </w:t>
      </w:r>
      <w:r>
        <w:rPr>
          <w:rFonts w:ascii="Times New Roman" w:hAnsi="Times New Roman"/>
          <w:bCs/>
          <w:i/>
          <w:sz w:val="24"/>
          <w:szCs w:val="24"/>
          <w:lang w:val="en-GB"/>
        </w:rPr>
        <w:t>influence of the French model</w:t>
      </w:r>
    </w:p>
    <w:p w:rsidR="005E6612" w:rsidRPr="00813E2C"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lastRenderedPageBreak/>
        <w:t>The traditional understatement of the Court and its tendency to avoid constitutional rhetoric and bold political statements are certainly linked to the diminishing but still present influence of the French model.</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At the beginning of its activity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adopted a style of legal reasoning based on that of the French courts: “formal, terse, and abstract”</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62"/>
      </w:r>
      <w:r w:rsidRPr="00813E2C">
        <w:rPr>
          <w:rFonts w:ascii="Times New Roman" w:hAnsi="Times New Roman"/>
          <w:sz w:val="24"/>
          <w:szCs w:val="24"/>
          <w:lang w:val="en-GB"/>
        </w:rPr>
        <w:t xml:space="preserve"> “a terse and opaque summary of the outcome and the reasons for it”, expressed in a “strictly deductive form”</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63"/>
      </w:r>
      <w:r w:rsidRPr="00813E2C">
        <w:rPr>
          <w:rFonts w:ascii="Times New Roman" w:hAnsi="Times New Roman"/>
          <w:sz w:val="24"/>
          <w:szCs w:val="24"/>
          <w:lang w:val="en-GB"/>
        </w:rPr>
        <w:t xml:space="preserve"> </w:t>
      </w:r>
      <w:r>
        <w:rPr>
          <w:rFonts w:ascii="Times New Roman" w:hAnsi="Times New Roman"/>
          <w:sz w:val="24"/>
          <w:szCs w:val="24"/>
          <w:lang w:val="en-GB"/>
        </w:rPr>
        <w:t>T</w:t>
      </w:r>
      <w:r w:rsidRPr="00813E2C">
        <w:rPr>
          <w:rFonts w:ascii="Times New Roman" w:hAnsi="Times New Roman"/>
          <w:sz w:val="24"/>
          <w:szCs w:val="24"/>
          <w:lang w:val="en-GB"/>
        </w:rPr>
        <w:t xml:space="preserve">he French version of the </w:t>
      </w:r>
      <w:r>
        <w:rPr>
          <w:rFonts w:ascii="Times New Roman" w:hAnsi="Times New Roman"/>
          <w:sz w:val="24"/>
          <w:szCs w:val="24"/>
          <w:lang w:val="en-GB"/>
        </w:rPr>
        <w:t>judgme</w:t>
      </w:r>
      <w:r w:rsidRPr="00813E2C">
        <w:rPr>
          <w:rFonts w:ascii="Times New Roman" w:hAnsi="Times New Roman"/>
          <w:sz w:val="24"/>
          <w:szCs w:val="24"/>
          <w:lang w:val="en-GB"/>
        </w:rPr>
        <w:t>nts was written according to the typical Frenc</w:t>
      </w:r>
      <w:r>
        <w:rPr>
          <w:rFonts w:ascii="Times New Roman" w:hAnsi="Times New Roman"/>
          <w:sz w:val="24"/>
          <w:szCs w:val="24"/>
          <w:lang w:val="en-GB"/>
        </w:rPr>
        <w:t xml:space="preserve">h and syllogistic model of the </w:t>
      </w:r>
      <w:r w:rsidRPr="00115703">
        <w:rPr>
          <w:rFonts w:ascii="Times New Roman" w:hAnsi="Times New Roman"/>
          <w:i/>
          <w:sz w:val="24"/>
          <w:szCs w:val="24"/>
          <w:lang w:val="en-GB"/>
        </w:rPr>
        <w:t>attendus que</w:t>
      </w:r>
      <w:r w:rsidRPr="00813E2C">
        <w:rPr>
          <w:rFonts w:ascii="Times New Roman" w:hAnsi="Times New Roman"/>
          <w:sz w:val="24"/>
          <w:szCs w:val="24"/>
          <w:lang w:val="en-GB"/>
        </w:rPr>
        <w:t>. As a result, the Court reached “a stern, authoritarian style, expressed in a single-sentenced statement in which shines a single subject (the Court)”</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64"/>
      </w:r>
      <w:r w:rsidRPr="00813E2C">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I</w:t>
      </w:r>
      <w:r w:rsidRPr="00813E2C">
        <w:rPr>
          <w:rFonts w:ascii="Times New Roman" w:hAnsi="Times New Roman"/>
          <w:sz w:val="24"/>
          <w:szCs w:val="24"/>
          <w:lang w:val="en-GB"/>
        </w:rPr>
        <w:t>n 1979 the Court abandon</w:t>
      </w:r>
      <w:r>
        <w:rPr>
          <w:rFonts w:ascii="Times New Roman" w:hAnsi="Times New Roman"/>
          <w:sz w:val="24"/>
          <w:szCs w:val="24"/>
          <w:lang w:val="en-GB"/>
        </w:rPr>
        <w:t>ed</w:t>
      </w:r>
      <w:r w:rsidRPr="00813E2C">
        <w:rPr>
          <w:rFonts w:ascii="Times New Roman" w:hAnsi="Times New Roman"/>
          <w:sz w:val="24"/>
          <w:szCs w:val="24"/>
          <w:lang w:val="en-GB"/>
        </w:rPr>
        <w:t xml:space="preserve"> the model of the </w:t>
      </w:r>
      <w:r w:rsidRPr="00813E2C">
        <w:rPr>
          <w:rFonts w:ascii="Times New Roman" w:hAnsi="Times New Roman"/>
          <w:i/>
          <w:sz w:val="24"/>
          <w:szCs w:val="24"/>
          <w:lang w:val="en-GB"/>
        </w:rPr>
        <w:t xml:space="preserve">attendus </w:t>
      </w:r>
      <w:r w:rsidRPr="00813E2C">
        <w:rPr>
          <w:rFonts w:ascii="Times New Roman" w:hAnsi="Times New Roman"/>
          <w:sz w:val="24"/>
          <w:szCs w:val="24"/>
          <w:lang w:val="en-GB"/>
        </w:rPr>
        <w:t>in order to favour a more dis</w:t>
      </w:r>
      <w:r>
        <w:rPr>
          <w:rFonts w:ascii="Times New Roman" w:hAnsi="Times New Roman"/>
          <w:sz w:val="24"/>
          <w:szCs w:val="24"/>
          <w:lang w:val="en-GB"/>
        </w:rPr>
        <w:t>cursive style of argumentation, but its judgme</w:t>
      </w:r>
      <w:r w:rsidRPr="00813E2C">
        <w:rPr>
          <w:rFonts w:ascii="Times New Roman" w:hAnsi="Times New Roman"/>
          <w:sz w:val="24"/>
          <w:szCs w:val="24"/>
          <w:lang w:val="en-GB"/>
        </w:rPr>
        <w:t>nts remained strongly structured and somewhat rigid. Arguments are introduced with standard phrases such as “it must be observed that”, “it must be pointed out that”, “it is clear that” and “it follows from the foregoing that”. According to their critics, the decisions of the Court still tend to be “short, terse, and magisterial decisions that demonstrate tremendous interpretative confidence and suggest a certain logical compulsion”</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65"/>
      </w:r>
      <w:r w:rsidRPr="00813E2C">
        <w:rPr>
          <w:rFonts w:ascii="Times New Roman" w:hAnsi="Times New Roman"/>
          <w:sz w:val="24"/>
          <w:szCs w:val="24"/>
          <w:lang w:val="en-GB"/>
        </w:rPr>
        <w:t xml:space="preserve"> </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However, the importance of this factor affecting the general style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’s legal reasoning should not be overemphasised. The influence of the French model has gradually declined and the </w:t>
      </w:r>
      <w:r>
        <w:rPr>
          <w:rFonts w:ascii="Times New Roman" w:hAnsi="Times New Roman"/>
          <w:sz w:val="24"/>
          <w:szCs w:val="24"/>
          <w:lang w:val="en-GB"/>
        </w:rPr>
        <w:t>judgme</w:t>
      </w:r>
      <w:r w:rsidRPr="00813E2C">
        <w:rPr>
          <w:rFonts w:ascii="Times New Roman" w:hAnsi="Times New Roman"/>
          <w:sz w:val="24"/>
          <w:szCs w:val="24"/>
          <w:lang w:val="en-GB"/>
        </w:rPr>
        <w:t>nts of the Court have started to deal with possible counter-arguments raised by the parties to the proceedings as a matter of course</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66"/>
      </w:r>
      <w:r w:rsidRPr="00813E2C">
        <w:rPr>
          <w:rFonts w:ascii="Times New Roman" w:hAnsi="Times New Roman"/>
          <w:sz w:val="24"/>
          <w:szCs w:val="24"/>
          <w:lang w:val="en-GB"/>
        </w:rPr>
        <w:t xml:space="preserve"> The change has been rightly described as a “stylistic earthquake” that occurred when the Court, in order to communicate more effectively with the national judges through the vehicle of the preliminary ruling procedure, embraced a more dialogical style of legal argumentation, “testing its reasons with a more thoughtful motivation and exposing itself to the controversial debate of scholarship”</w:t>
      </w:r>
      <w:r>
        <w:rPr>
          <w:rFonts w:ascii="Times New Roman" w:hAnsi="Times New Roman"/>
          <w:sz w:val="24"/>
          <w:szCs w:val="24"/>
          <w:lang w:val="en-GB"/>
        </w:rPr>
        <w:t>.</w:t>
      </w:r>
      <w:r w:rsidRPr="00813E2C">
        <w:rPr>
          <w:rStyle w:val="Rimandonotaapidipagina"/>
          <w:rFonts w:ascii="Times New Roman" w:hAnsi="Times New Roman"/>
          <w:sz w:val="24"/>
          <w:szCs w:val="24"/>
          <w:lang w:val="en-GB"/>
        </w:rPr>
        <w:footnoteReference w:id="167"/>
      </w:r>
      <w:r w:rsidRPr="00813E2C">
        <w:rPr>
          <w:rFonts w:ascii="Times New Roman" w:hAnsi="Times New Roman"/>
          <w:sz w:val="24"/>
          <w:szCs w:val="24"/>
          <w:lang w:val="en-GB"/>
        </w:rPr>
        <w:t xml:space="preserve"> It is indicative in this regard that the average length of the Court’s decisions has increased in the course of time: from the laconic brevity of its first </w:t>
      </w:r>
      <w:r>
        <w:rPr>
          <w:rFonts w:ascii="Times New Roman" w:hAnsi="Times New Roman"/>
          <w:sz w:val="24"/>
          <w:szCs w:val="24"/>
          <w:lang w:val="en-GB"/>
        </w:rPr>
        <w:t>judgme</w:t>
      </w:r>
      <w:r w:rsidRPr="00813E2C">
        <w:rPr>
          <w:rFonts w:ascii="Times New Roman" w:hAnsi="Times New Roman"/>
          <w:sz w:val="24"/>
          <w:szCs w:val="24"/>
          <w:lang w:val="en-GB"/>
        </w:rPr>
        <w:t xml:space="preserve">nts it reached the 380 paragraphs and 29,000 words of the </w:t>
      </w:r>
      <w:r w:rsidRPr="00813E2C">
        <w:rPr>
          <w:rFonts w:ascii="Times New Roman" w:hAnsi="Times New Roman"/>
          <w:i/>
          <w:sz w:val="24"/>
          <w:szCs w:val="24"/>
          <w:lang w:val="en-GB"/>
        </w:rPr>
        <w:t>Kadi</w:t>
      </w:r>
      <w:r w:rsidRPr="00813E2C">
        <w:rPr>
          <w:rFonts w:ascii="Times New Roman" w:hAnsi="Times New Roman"/>
          <w:sz w:val="24"/>
          <w:szCs w:val="24"/>
          <w:lang w:val="en-GB"/>
        </w:rPr>
        <w:t xml:space="preserve"> </w:t>
      </w:r>
      <w:r>
        <w:rPr>
          <w:rFonts w:ascii="Times New Roman" w:hAnsi="Times New Roman"/>
          <w:sz w:val="24"/>
          <w:szCs w:val="24"/>
          <w:lang w:val="en-GB"/>
        </w:rPr>
        <w:t>judgme</w:t>
      </w:r>
      <w:r w:rsidRPr="00813E2C">
        <w:rPr>
          <w:rFonts w:ascii="Times New Roman" w:hAnsi="Times New Roman"/>
          <w:sz w:val="24"/>
          <w:szCs w:val="24"/>
          <w:lang w:val="en-GB"/>
        </w:rPr>
        <w:t>nt of 2008</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68"/>
      </w:r>
      <w:r w:rsidRPr="00813E2C">
        <w:rPr>
          <w:rFonts w:ascii="Times New Roman" w:hAnsi="Times New Roman"/>
          <w:sz w:val="24"/>
          <w:szCs w:val="24"/>
          <w:lang w:val="en-GB"/>
        </w:rPr>
        <w:t xml:space="preserve"> </w:t>
      </w:r>
    </w:p>
    <w:p w:rsidR="005E6612" w:rsidRDefault="005E6612" w:rsidP="00B27D8E">
      <w:pPr>
        <w:spacing w:line="240" w:lineRule="auto"/>
        <w:jc w:val="both"/>
        <w:rPr>
          <w:rFonts w:ascii="Times New Roman" w:hAnsi="Times New Roman"/>
          <w:i/>
          <w:sz w:val="24"/>
          <w:szCs w:val="24"/>
          <w:lang w:val="en-GB"/>
        </w:rPr>
      </w:pPr>
      <w:r w:rsidRPr="007B040D">
        <w:rPr>
          <w:rFonts w:ascii="Times New Roman" w:hAnsi="Times New Roman"/>
          <w:sz w:val="24"/>
          <w:szCs w:val="24"/>
          <w:lang w:val="en-GB"/>
        </w:rPr>
        <w:t xml:space="preserve">4. </w:t>
      </w:r>
      <w:r w:rsidRPr="00DF4321">
        <w:rPr>
          <w:rFonts w:ascii="Times New Roman" w:hAnsi="Times New Roman"/>
          <w:i/>
          <w:iCs/>
          <w:sz w:val="24"/>
          <w:szCs w:val="24"/>
          <w:lang w:val="en-GB"/>
        </w:rPr>
        <w:t xml:space="preserve">Impersonality: </w:t>
      </w:r>
      <w:r w:rsidRPr="00DF4321">
        <w:rPr>
          <w:rFonts w:ascii="Times New Roman" w:hAnsi="Times New Roman"/>
          <w:i/>
          <w:sz w:val="24"/>
          <w:szCs w:val="24"/>
          <w:lang w:val="en-GB"/>
        </w:rPr>
        <w:t>translation, informatisation and the use of precedents</w:t>
      </w:r>
    </w:p>
    <w:p w:rsidR="005E6612" w:rsidRPr="00DF4321" w:rsidRDefault="005E6612" w:rsidP="00B27D8E">
      <w:pPr>
        <w:spacing w:line="240" w:lineRule="auto"/>
        <w:jc w:val="both"/>
        <w:rPr>
          <w:rFonts w:ascii="Times New Roman" w:hAnsi="Times New Roman"/>
          <w:sz w:val="24"/>
          <w:szCs w:val="24"/>
          <w:lang w:val="en-GB"/>
        </w:rPr>
      </w:pPr>
      <w:r w:rsidRPr="00DF4321">
        <w:rPr>
          <w:rFonts w:ascii="Times New Roman" w:hAnsi="Times New Roman"/>
          <w:sz w:val="24"/>
          <w:szCs w:val="24"/>
          <w:lang w:val="en-GB"/>
        </w:rPr>
        <w:t xml:space="preserve">Written in French, the </w:t>
      </w:r>
      <w:r>
        <w:rPr>
          <w:rFonts w:ascii="Times New Roman" w:hAnsi="Times New Roman"/>
          <w:sz w:val="24"/>
          <w:szCs w:val="24"/>
          <w:lang w:val="en-GB"/>
        </w:rPr>
        <w:t>judgme</w:t>
      </w:r>
      <w:r w:rsidRPr="00DF4321">
        <w:rPr>
          <w:rFonts w:ascii="Times New Roman" w:hAnsi="Times New Roman"/>
          <w:sz w:val="24"/>
          <w:szCs w:val="24"/>
          <w:lang w:val="en-GB"/>
        </w:rPr>
        <w:t xml:space="preserve">nts of the </w:t>
      </w:r>
      <w:r w:rsidRPr="003D634E">
        <w:rPr>
          <w:rFonts w:ascii="Times New Roman" w:hAnsi="Times New Roman"/>
          <w:sz w:val="24"/>
          <w:szCs w:val="24"/>
          <w:lang w:val="en-GB"/>
        </w:rPr>
        <w:t>Court of Justice</w:t>
      </w:r>
      <w:r w:rsidRPr="00DF4321">
        <w:rPr>
          <w:rFonts w:ascii="Times New Roman" w:hAnsi="Times New Roman"/>
          <w:sz w:val="24"/>
          <w:szCs w:val="24"/>
          <w:lang w:val="en-GB"/>
        </w:rPr>
        <w:t xml:space="preserve"> are designed to be translated into every official language of the EU</w:t>
      </w:r>
      <w:r>
        <w:rPr>
          <w:rFonts w:ascii="Times New Roman" w:hAnsi="Times New Roman"/>
          <w:sz w:val="24"/>
          <w:szCs w:val="24"/>
          <w:lang w:val="en-GB"/>
        </w:rPr>
        <w:t>.</w:t>
      </w:r>
      <w:r w:rsidRPr="00DF4321">
        <w:rPr>
          <w:rFonts w:ascii="Times New Roman" w:hAnsi="Times New Roman"/>
          <w:sz w:val="24"/>
          <w:szCs w:val="24"/>
          <w:vertAlign w:val="superscript"/>
          <w:lang w:val="en-GB"/>
        </w:rPr>
        <w:footnoteReference w:id="169"/>
      </w:r>
      <w:r w:rsidRPr="00DF4321">
        <w:rPr>
          <w:rFonts w:ascii="Times New Roman" w:hAnsi="Times New Roman"/>
          <w:sz w:val="24"/>
          <w:szCs w:val="24"/>
          <w:lang w:val="en-GB"/>
        </w:rPr>
        <w:t xml:space="preserve"> </w:t>
      </w:r>
      <w:r>
        <w:rPr>
          <w:rFonts w:ascii="Times New Roman" w:hAnsi="Times New Roman"/>
          <w:sz w:val="24"/>
          <w:szCs w:val="24"/>
          <w:lang w:val="en-GB"/>
        </w:rPr>
        <w:t>T</w:t>
      </w:r>
      <w:r w:rsidRPr="00DF4321">
        <w:rPr>
          <w:rFonts w:ascii="Times New Roman" w:hAnsi="Times New Roman"/>
          <w:sz w:val="24"/>
          <w:szCs w:val="24"/>
          <w:lang w:val="en-GB"/>
        </w:rPr>
        <w:t xml:space="preserve">his has significant consequences for the kind of prose that the Court </w:t>
      </w:r>
      <w:r w:rsidRPr="00DF4321">
        <w:rPr>
          <w:rFonts w:ascii="Times New Roman" w:hAnsi="Times New Roman"/>
          <w:sz w:val="24"/>
          <w:szCs w:val="24"/>
          <w:lang w:val="en-GB"/>
        </w:rPr>
        <w:lastRenderedPageBreak/>
        <w:t xml:space="preserve">is able to employ: “Write simple and uncluttered sentences, use </w:t>
      </w:r>
      <w:r w:rsidRPr="00DF4321">
        <w:rPr>
          <w:rFonts w:ascii="Times New Roman" w:hAnsi="Times New Roman"/>
          <w:bCs/>
          <w:sz w:val="24"/>
          <w:szCs w:val="24"/>
          <w:lang w:val="en-GB"/>
        </w:rPr>
        <w:t>the simplest possible vocabulary</w:t>
      </w:r>
      <w:r w:rsidRPr="00DF4321">
        <w:rPr>
          <w:rFonts w:ascii="Times New Roman" w:hAnsi="Times New Roman"/>
          <w:sz w:val="24"/>
          <w:szCs w:val="24"/>
          <w:lang w:val="en-GB"/>
        </w:rPr>
        <w:t>, avoid abstract and learned terms”</w:t>
      </w:r>
      <w:r>
        <w:rPr>
          <w:rFonts w:ascii="Times New Roman" w:hAnsi="Times New Roman"/>
          <w:sz w:val="24"/>
          <w:szCs w:val="24"/>
          <w:lang w:val="en-GB"/>
        </w:rPr>
        <w:t>,</w:t>
      </w:r>
      <w:r w:rsidRPr="00DF4321">
        <w:rPr>
          <w:rFonts w:ascii="Times New Roman" w:hAnsi="Times New Roman"/>
          <w:sz w:val="24"/>
          <w:szCs w:val="24"/>
          <w:vertAlign w:val="superscript"/>
          <w:lang w:val="en-GB"/>
        </w:rPr>
        <w:footnoteReference w:id="170"/>
      </w:r>
      <w:r w:rsidRPr="00DF4321">
        <w:rPr>
          <w:rFonts w:ascii="Times New Roman" w:hAnsi="Times New Roman"/>
          <w:sz w:val="24"/>
          <w:szCs w:val="24"/>
          <w:lang w:val="en-GB"/>
        </w:rPr>
        <w:t xml:space="preserve"> recommends the </w:t>
      </w:r>
      <w:r w:rsidRPr="00DF4321">
        <w:rPr>
          <w:rFonts w:ascii="Times New Roman" w:hAnsi="Times New Roman"/>
          <w:i/>
          <w:sz w:val="24"/>
          <w:szCs w:val="24"/>
          <w:lang w:val="en-GB"/>
        </w:rPr>
        <w:t>Vade</w:t>
      </w:r>
      <w:r>
        <w:rPr>
          <w:rFonts w:ascii="Times New Roman" w:hAnsi="Times New Roman"/>
          <w:i/>
          <w:sz w:val="24"/>
          <w:szCs w:val="24"/>
          <w:lang w:val="en-GB"/>
        </w:rPr>
        <w:t>-</w:t>
      </w:r>
      <w:r w:rsidRPr="00DF4321">
        <w:rPr>
          <w:rFonts w:ascii="Times New Roman" w:hAnsi="Times New Roman"/>
          <w:i/>
          <w:sz w:val="24"/>
          <w:szCs w:val="24"/>
          <w:lang w:val="en-GB"/>
        </w:rPr>
        <w:t>mecum</w:t>
      </w:r>
      <w:r w:rsidRPr="00DF4321">
        <w:rPr>
          <w:rFonts w:ascii="Times New Roman" w:hAnsi="Times New Roman"/>
          <w:sz w:val="24"/>
          <w:szCs w:val="24"/>
          <w:lang w:val="en-GB"/>
        </w:rPr>
        <w:t xml:space="preserve"> that Pierre Pescatore wrote for his colleagues at the </w:t>
      </w:r>
      <w:r w:rsidRPr="003D634E">
        <w:rPr>
          <w:rFonts w:ascii="Times New Roman" w:hAnsi="Times New Roman"/>
          <w:sz w:val="24"/>
          <w:szCs w:val="24"/>
          <w:lang w:val="en-GB"/>
        </w:rPr>
        <w:t>Court of Justice</w:t>
      </w:r>
      <w:r w:rsidRPr="00DF4321">
        <w:rPr>
          <w:rFonts w:ascii="Times New Roman" w:hAnsi="Times New Roman"/>
          <w:sz w:val="24"/>
          <w:szCs w:val="24"/>
          <w:lang w:val="en-GB"/>
        </w:rPr>
        <w:t xml:space="preserve">. His suggestion has been generally followed by the practice. The </w:t>
      </w:r>
      <w:r w:rsidRPr="003D634E">
        <w:rPr>
          <w:rFonts w:ascii="Times New Roman" w:hAnsi="Times New Roman"/>
          <w:sz w:val="24"/>
          <w:szCs w:val="24"/>
          <w:lang w:val="en-GB"/>
        </w:rPr>
        <w:t>Court of Justice</w:t>
      </w:r>
      <w:r w:rsidRPr="00DF4321">
        <w:rPr>
          <w:rFonts w:ascii="Times New Roman" w:hAnsi="Times New Roman"/>
          <w:sz w:val="24"/>
          <w:szCs w:val="24"/>
          <w:lang w:val="en-GB"/>
        </w:rPr>
        <w:t xml:space="preserve"> tends to avoid </w:t>
      </w:r>
      <w:r w:rsidRPr="00DF4321">
        <w:rPr>
          <w:rFonts w:ascii="Times New Roman" w:hAnsi="Times New Roman"/>
          <w:bCs/>
          <w:sz w:val="24"/>
          <w:szCs w:val="24"/>
          <w:lang w:val="en-GB"/>
        </w:rPr>
        <w:t>rhetorically</w:t>
      </w:r>
      <w:r w:rsidRPr="00DF4321">
        <w:rPr>
          <w:rFonts w:ascii="Times New Roman" w:hAnsi="Times New Roman"/>
          <w:sz w:val="24"/>
          <w:szCs w:val="24"/>
          <w:lang w:val="en-GB"/>
        </w:rPr>
        <w:t xml:space="preserve"> shaped, ornate language, elegant and brilliant prose, as well as abstract conceptualism and academic thoughtfulness. It prefers plain terms, </w:t>
      </w:r>
      <w:r>
        <w:rPr>
          <w:rFonts w:ascii="Times New Roman" w:hAnsi="Times New Roman"/>
          <w:sz w:val="24"/>
          <w:szCs w:val="24"/>
          <w:lang w:val="en-GB"/>
        </w:rPr>
        <w:t xml:space="preserve">a </w:t>
      </w:r>
      <w:r w:rsidRPr="00DF4321">
        <w:rPr>
          <w:rFonts w:ascii="Times New Roman" w:hAnsi="Times New Roman"/>
          <w:sz w:val="24"/>
          <w:szCs w:val="24"/>
          <w:lang w:val="en-GB"/>
        </w:rPr>
        <w:t>simple and compact style and, above all, impersonality</w:t>
      </w:r>
      <w:r>
        <w:rPr>
          <w:rFonts w:ascii="Times New Roman" w:hAnsi="Times New Roman"/>
          <w:sz w:val="24"/>
          <w:szCs w:val="24"/>
          <w:lang w:val="en-GB"/>
        </w:rPr>
        <w:t>.</w:t>
      </w:r>
      <w:r w:rsidRPr="00DF4321">
        <w:rPr>
          <w:rFonts w:ascii="Times New Roman" w:hAnsi="Times New Roman"/>
          <w:sz w:val="24"/>
          <w:szCs w:val="24"/>
          <w:vertAlign w:val="superscript"/>
          <w:lang w:val="en-GB"/>
        </w:rPr>
        <w:footnoteReference w:id="171"/>
      </w:r>
      <w:r w:rsidRPr="00DF4321">
        <w:rPr>
          <w:rFonts w:ascii="Times New Roman" w:hAnsi="Times New Roman"/>
          <w:sz w:val="24"/>
          <w:szCs w:val="24"/>
          <w:lang w:val="en-GB"/>
        </w:rPr>
        <w:t xml:space="preserve"> </w:t>
      </w:r>
    </w:p>
    <w:p w:rsidR="005E6612" w:rsidRPr="00DF4321" w:rsidRDefault="005E6612" w:rsidP="00B27D8E">
      <w:pPr>
        <w:spacing w:line="240" w:lineRule="auto"/>
        <w:jc w:val="both"/>
        <w:rPr>
          <w:rFonts w:ascii="Times New Roman" w:hAnsi="Times New Roman"/>
          <w:sz w:val="24"/>
          <w:szCs w:val="24"/>
          <w:lang w:val="en-GB"/>
        </w:rPr>
      </w:pPr>
      <w:r w:rsidRPr="00DF4321">
        <w:rPr>
          <w:rFonts w:ascii="Times New Roman" w:hAnsi="Times New Roman"/>
          <w:sz w:val="24"/>
          <w:szCs w:val="24"/>
          <w:lang w:val="en-GB"/>
        </w:rPr>
        <w:t xml:space="preserve">Even if it were true that “over the years, the </w:t>
      </w:r>
      <w:r w:rsidRPr="003D634E">
        <w:rPr>
          <w:rFonts w:ascii="Times New Roman" w:hAnsi="Times New Roman"/>
          <w:sz w:val="24"/>
          <w:szCs w:val="24"/>
          <w:lang w:val="en-GB"/>
        </w:rPr>
        <w:t>Court of Justice</w:t>
      </w:r>
      <w:r w:rsidRPr="00DF4321">
        <w:rPr>
          <w:rFonts w:ascii="Times New Roman" w:hAnsi="Times New Roman"/>
          <w:sz w:val="24"/>
          <w:szCs w:val="24"/>
          <w:lang w:val="en-GB"/>
        </w:rPr>
        <w:t xml:space="preserve"> has developed not just its own style, but undoubtedly a unique way of looking at and interpreting Union law”</w:t>
      </w:r>
      <w:r>
        <w:rPr>
          <w:rFonts w:ascii="Times New Roman" w:hAnsi="Times New Roman"/>
          <w:sz w:val="24"/>
          <w:szCs w:val="24"/>
          <w:lang w:val="en-GB"/>
        </w:rPr>
        <w:t>,</w:t>
      </w:r>
      <w:r w:rsidRPr="00DF4321">
        <w:rPr>
          <w:rFonts w:ascii="Times New Roman" w:hAnsi="Times New Roman"/>
          <w:sz w:val="24"/>
          <w:szCs w:val="24"/>
          <w:vertAlign w:val="superscript"/>
          <w:lang w:val="en-GB"/>
        </w:rPr>
        <w:footnoteReference w:id="172"/>
      </w:r>
      <w:r w:rsidRPr="00DF4321">
        <w:rPr>
          <w:rFonts w:ascii="Times New Roman" w:hAnsi="Times New Roman"/>
          <w:sz w:val="24"/>
          <w:szCs w:val="24"/>
          <w:lang w:val="en-GB"/>
        </w:rPr>
        <w:t xml:space="preserve"> the style of the Court would be unique but certainly not characteristic. Even from the viewpoint of a civil law lawyer, let alone from the viewpoint of a common law lawyer, one of its striking aspects is the high degree of impersonality that it strives for and is able to achieve in its </w:t>
      </w:r>
      <w:r>
        <w:rPr>
          <w:rFonts w:ascii="Times New Roman" w:hAnsi="Times New Roman"/>
          <w:sz w:val="24"/>
          <w:szCs w:val="24"/>
          <w:lang w:val="en-GB"/>
        </w:rPr>
        <w:t>judgme</w:t>
      </w:r>
      <w:r w:rsidRPr="00DF4321">
        <w:rPr>
          <w:rFonts w:ascii="Times New Roman" w:hAnsi="Times New Roman"/>
          <w:sz w:val="24"/>
          <w:szCs w:val="24"/>
          <w:lang w:val="en-GB"/>
        </w:rPr>
        <w:t xml:space="preserve">nts. </w:t>
      </w:r>
    </w:p>
    <w:p w:rsidR="005E6612" w:rsidRPr="00DF4321" w:rsidRDefault="005E6612" w:rsidP="00B27D8E">
      <w:pPr>
        <w:spacing w:line="240" w:lineRule="auto"/>
        <w:jc w:val="both"/>
        <w:rPr>
          <w:rFonts w:ascii="Times New Roman" w:hAnsi="Times New Roman"/>
          <w:sz w:val="24"/>
          <w:szCs w:val="24"/>
          <w:lang w:val="en-GB"/>
        </w:rPr>
      </w:pPr>
      <w:r w:rsidRPr="00DF4321">
        <w:rPr>
          <w:rFonts w:ascii="Times New Roman" w:hAnsi="Times New Roman"/>
          <w:sz w:val="24"/>
          <w:szCs w:val="24"/>
          <w:lang w:val="en-GB"/>
        </w:rPr>
        <w:t xml:space="preserve">Impersonality is a consequence of the need for translation as much as of the need for informatisation. The </w:t>
      </w:r>
      <w:r w:rsidRPr="00DF4321">
        <w:rPr>
          <w:rFonts w:ascii="Times New Roman" w:hAnsi="Times New Roman"/>
          <w:i/>
          <w:sz w:val="24"/>
          <w:szCs w:val="24"/>
          <w:lang w:val="en-GB"/>
        </w:rPr>
        <w:t>rationes decidendi</w:t>
      </w:r>
      <w:r w:rsidRPr="00DF4321">
        <w:rPr>
          <w:rFonts w:ascii="Times New Roman" w:hAnsi="Times New Roman"/>
          <w:sz w:val="24"/>
          <w:szCs w:val="24"/>
          <w:lang w:val="en-GB"/>
        </w:rPr>
        <w:t xml:space="preserve"> of the </w:t>
      </w:r>
      <w:r w:rsidRPr="003D634E">
        <w:rPr>
          <w:rFonts w:ascii="Times New Roman" w:hAnsi="Times New Roman"/>
          <w:sz w:val="24"/>
          <w:szCs w:val="24"/>
          <w:lang w:val="en-GB"/>
        </w:rPr>
        <w:t>Court of Justice</w:t>
      </w:r>
      <w:r w:rsidRPr="00DF4321">
        <w:rPr>
          <w:rFonts w:ascii="Times New Roman" w:hAnsi="Times New Roman"/>
          <w:sz w:val="24"/>
          <w:szCs w:val="24"/>
          <w:lang w:val="en-GB"/>
        </w:rPr>
        <w:t xml:space="preserve">’s rulings tend to be standardised in order to be </w:t>
      </w:r>
      <w:r w:rsidRPr="00DF4321">
        <w:rPr>
          <w:rFonts w:ascii="Times New Roman" w:hAnsi="Times New Roman"/>
          <w:bCs/>
          <w:sz w:val="24"/>
          <w:szCs w:val="24"/>
          <w:lang w:val="en-GB"/>
        </w:rPr>
        <w:t>stored and retrieved using database</w:t>
      </w:r>
      <w:r w:rsidRPr="00DF4321">
        <w:rPr>
          <w:rFonts w:ascii="Times New Roman" w:hAnsi="Times New Roman"/>
          <w:sz w:val="24"/>
          <w:szCs w:val="24"/>
          <w:lang w:val="en-GB"/>
        </w:rPr>
        <w:t xml:space="preserve"> queries so as to be easily quoted by subsequent </w:t>
      </w:r>
      <w:r>
        <w:rPr>
          <w:rFonts w:ascii="Times New Roman" w:hAnsi="Times New Roman"/>
          <w:sz w:val="24"/>
          <w:szCs w:val="24"/>
          <w:lang w:val="en-GB"/>
        </w:rPr>
        <w:t>judgme</w:t>
      </w:r>
      <w:r w:rsidRPr="00DF4321">
        <w:rPr>
          <w:rFonts w:ascii="Times New Roman" w:hAnsi="Times New Roman"/>
          <w:sz w:val="24"/>
          <w:szCs w:val="24"/>
          <w:lang w:val="en-GB"/>
        </w:rPr>
        <w:t xml:space="preserve">nts. Already in the 1980s the </w:t>
      </w:r>
      <w:r w:rsidRPr="003D634E">
        <w:rPr>
          <w:rFonts w:ascii="Times New Roman" w:hAnsi="Times New Roman"/>
          <w:sz w:val="24"/>
          <w:szCs w:val="24"/>
          <w:lang w:val="en-GB"/>
        </w:rPr>
        <w:t>Court of Justice</w:t>
      </w:r>
      <w:r w:rsidRPr="00DF4321">
        <w:rPr>
          <w:rFonts w:ascii="Times New Roman" w:hAnsi="Times New Roman"/>
          <w:sz w:val="24"/>
          <w:szCs w:val="24"/>
          <w:lang w:val="en-GB"/>
        </w:rPr>
        <w:t xml:space="preserve"> began to show ICT awareness, recognised the need for informatisation and begun to draft its </w:t>
      </w:r>
      <w:r>
        <w:rPr>
          <w:rFonts w:ascii="Times New Roman" w:hAnsi="Times New Roman"/>
          <w:sz w:val="24"/>
          <w:szCs w:val="24"/>
          <w:lang w:val="en-GB"/>
        </w:rPr>
        <w:t>judgme</w:t>
      </w:r>
      <w:r w:rsidRPr="00DF4321">
        <w:rPr>
          <w:rFonts w:ascii="Times New Roman" w:hAnsi="Times New Roman"/>
          <w:sz w:val="24"/>
          <w:szCs w:val="24"/>
          <w:lang w:val="en-GB"/>
        </w:rPr>
        <w:t xml:space="preserve">nts accordingly, taking into consideration the requirement for information retrieval: according to Pescatore’s </w:t>
      </w:r>
      <w:r w:rsidRPr="00DF4321">
        <w:rPr>
          <w:rFonts w:ascii="Times New Roman" w:hAnsi="Times New Roman"/>
          <w:i/>
          <w:iCs/>
          <w:sz w:val="24"/>
          <w:szCs w:val="24"/>
          <w:lang w:val="en-GB"/>
        </w:rPr>
        <w:t>Vade-mecum</w:t>
      </w:r>
      <w:r w:rsidRPr="00DF4321">
        <w:rPr>
          <w:rFonts w:ascii="Times New Roman" w:hAnsi="Times New Roman"/>
          <w:sz w:val="24"/>
          <w:szCs w:val="24"/>
          <w:lang w:val="en-GB"/>
        </w:rPr>
        <w:t>, “legal reasoning, even when it is complicated, should eventually be reduced ... to simple options that are compatible with the work of the machine”</w:t>
      </w:r>
      <w:r>
        <w:rPr>
          <w:rFonts w:ascii="Times New Roman" w:hAnsi="Times New Roman"/>
          <w:sz w:val="24"/>
          <w:szCs w:val="24"/>
          <w:lang w:val="en-GB"/>
        </w:rPr>
        <w:t>.</w:t>
      </w:r>
      <w:r w:rsidRPr="00DF4321">
        <w:rPr>
          <w:rFonts w:ascii="Times New Roman" w:hAnsi="Times New Roman"/>
          <w:sz w:val="24"/>
          <w:szCs w:val="24"/>
          <w:vertAlign w:val="superscript"/>
          <w:lang w:val="en-GB"/>
        </w:rPr>
        <w:footnoteReference w:id="173"/>
      </w:r>
      <w:r w:rsidRPr="00DF4321">
        <w:rPr>
          <w:rFonts w:ascii="Times New Roman" w:hAnsi="Times New Roman"/>
          <w:sz w:val="24"/>
          <w:szCs w:val="24"/>
          <w:lang w:val="en-GB"/>
        </w:rPr>
        <w:t xml:space="preserve"> </w:t>
      </w:r>
    </w:p>
    <w:p w:rsidR="005E6612" w:rsidRPr="00813E2C" w:rsidRDefault="005E6612" w:rsidP="00B27D8E">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Another remarkable feature of the legal reasoning of the </w:t>
      </w:r>
      <w:r w:rsidRPr="003D634E">
        <w:rPr>
          <w:rFonts w:ascii="Times New Roman" w:hAnsi="Times New Roman"/>
          <w:sz w:val="24"/>
          <w:szCs w:val="24"/>
          <w:lang w:val="en-GB"/>
        </w:rPr>
        <w:t>Court of Justice</w:t>
      </w:r>
      <w:r>
        <w:rPr>
          <w:rFonts w:ascii="Times New Roman" w:hAnsi="Times New Roman"/>
          <w:sz w:val="24"/>
          <w:szCs w:val="24"/>
          <w:lang w:val="en-GB"/>
        </w:rPr>
        <w:t xml:space="preserve"> is the </w:t>
      </w:r>
      <w:r w:rsidRPr="00813E2C">
        <w:rPr>
          <w:rFonts w:ascii="Times New Roman" w:hAnsi="Times New Roman"/>
          <w:sz w:val="24"/>
          <w:szCs w:val="24"/>
          <w:lang w:val="en-GB"/>
        </w:rPr>
        <w:t>extensive use of copy-and-paste quotations</w:t>
      </w:r>
      <w:r>
        <w:rPr>
          <w:rFonts w:ascii="Times New Roman" w:hAnsi="Times New Roman"/>
          <w:sz w:val="24"/>
          <w:szCs w:val="24"/>
          <w:lang w:val="en-GB"/>
        </w:rPr>
        <w:t xml:space="preserve"> from the previous case law. The </w:t>
      </w:r>
      <w:r w:rsidRPr="00813E2C">
        <w:rPr>
          <w:rFonts w:ascii="Times New Roman" w:hAnsi="Times New Roman"/>
          <w:sz w:val="24"/>
          <w:szCs w:val="24"/>
          <w:lang w:val="en-GB"/>
        </w:rPr>
        <w:t xml:space="preserve">Court wants to avoid originality </w:t>
      </w:r>
      <w:r>
        <w:rPr>
          <w:rFonts w:ascii="Times New Roman" w:hAnsi="Times New Roman"/>
          <w:sz w:val="24"/>
          <w:szCs w:val="24"/>
          <w:lang w:val="en-GB"/>
        </w:rPr>
        <w:t xml:space="preserve">at all cost. </w:t>
      </w:r>
      <w:r w:rsidRPr="00813E2C">
        <w:rPr>
          <w:rFonts w:ascii="Times New Roman" w:hAnsi="Times New Roman"/>
          <w:sz w:val="24"/>
          <w:szCs w:val="24"/>
          <w:lang w:val="en-GB"/>
        </w:rPr>
        <w:t xml:space="preserve">The reason for this is not economic in nature – it is not a matter of preventing waste of time or the hard intellectual labour of thinking anew about the best arguments for the case. Copy-and-paste quotations create (an </w:t>
      </w:r>
      <w:r w:rsidRPr="00813E2C">
        <w:rPr>
          <w:rFonts w:ascii="Times New Roman" w:hAnsi="Times New Roman"/>
          <w:bCs/>
          <w:sz w:val="24"/>
          <w:szCs w:val="24"/>
          <w:lang w:val="en-GB"/>
        </w:rPr>
        <w:t>appearance</w:t>
      </w:r>
      <w:r w:rsidRPr="00813E2C">
        <w:rPr>
          <w:rFonts w:ascii="Times New Roman" w:hAnsi="Times New Roman"/>
          <w:sz w:val="24"/>
          <w:szCs w:val="24"/>
          <w:lang w:val="en-GB"/>
        </w:rPr>
        <w:t xml:space="preserve"> of) consistency in the case law or – to put it in a more precise way – they create redundancy</w:t>
      </w:r>
      <w:r w:rsidRPr="00813E2C">
        <w:rPr>
          <w:rFonts w:ascii="Times New Roman" w:hAnsi="Times New Roman"/>
          <w:sz w:val="24"/>
          <w:szCs w:val="24"/>
          <w:vertAlign w:val="superscript"/>
          <w:lang w:val="en-GB"/>
        </w:rPr>
        <w:footnoteReference w:id="174"/>
      </w:r>
      <w:r w:rsidRPr="00813E2C">
        <w:rPr>
          <w:rFonts w:ascii="Times New Roman" w:hAnsi="Times New Roman"/>
          <w:sz w:val="24"/>
          <w:szCs w:val="24"/>
          <w:lang w:val="en-GB"/>
        </w:rPr>
        <w:t xml:space="preserve">: they show that the decision of the case is deeply embedded in a long line of decisions repeating the same legal principle and, by doing so, they provide legitimacy for the </w:t>
      </w:r>
      <w:r>
        <w:rPr>
          <w:rFonts w:ascii="Times New Roman" w:hAnsi="Times New Roman"/>
          <w:sz w:val="24"/>
          <w:szCs w:val="24"/>
          <w:lang w:val="en-GB"/>
        </w:rPr>
        <w:t>judgme</w:t>
      </w:r>
      <w:r w:rsidRPr="00813E2C">
        <w:rPr>
          <w:rFonts w:ascii="Times New Roman" w:hAnsi="Times New Roman"/>
          <w:sz w:val="24"/>
          <w:szCs w:val="24"/>
          <w:lang w:val="en-GB"/>
        </w:rPr>
        <w:t xml:space="preserve">nt and the Court. Thus, the extensive use of precedents, literal self-quotations and typical formulas by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has much to do with the need for standardisation and self-legitimation of a court that operates in a pluralistic legal space and that is actively engaged in a constitutionalisation process. Redundant self-quotations create the perception of stable reference points in a highly uncertain legal and political environment. </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sz w:val="24"/>
          <w:szCs w:val="24"/>
          <w:lang w:val="en-GB"/>
        </w:rPr>
        <w:t xml:space="preserve">In any case, copy-and-paste quotations tend to eliminate any personal or idiosyncratic elements in the justification of the </w:t>
      </w:r>
      <w:r>
        <w:rPr>
          <w:rFonts w:ascii="Times New Roman" w:hAnsi="Times New Roman"/>
          <w:sz w:val="24"/>
          <w:szCs w:val="24"/>
          <w:lang w:val="en-GB"/>
        </w:rPr>
        <w:t>judgme</w:t>
      </w:r>
      <w:r w:rsidRPr="00813E2C">
        <w:rPr>
          <w:rFonts w:ascii="Times New Roman" w:hAnsi="Times New Roman"/>
          <w:sz w:val="24"/>
          <w:szCs w:val="24"/>
          <w:lang w:val="en-GB"/>
        </w:rPr>
        <w:t xml:space="preserve">nt. As noted by Loїc Azoulai, it is as if the </w:t>
      </w:r>
      <w:r>
        <w:rPr>
          <w:rFonts w:ascii="Times New Roman" w:hAnsi="Times New Roman"/>
          <w:sz w:val="24"/>
          <w:szCs w:val="24"/>
          <w:lang w:val="en-GB"/>
        </w:rPr>
        <w:t>judgme</w:t>
      </w:r>
      <w:r w:rsidRPr="00813E2C">
        <w:rPr>
          <w:rFonts w:ascii="Times New Roman" w:hAnsi="Times New Roman"/>
          <w:sz w:val="24"/>
          <w:szCs w:val="24"/>
          <w:lang w:val="en-GB"/>
        </w:rPr>
        <w:t xml:space="preserve">nts of the Court were “the result of a complex kind of ‘collage’ of judicial formulas”, i.e. of doctrines and </w:t>
      </w:r>
      <w:r w:rsidRPr="00813E2C">
        <w:rPr>
          <w:rFonts w:ascii="Times New Roman" w:hAnsi="Times New Roman"/>
          <w:i/>
          <w:sz w:val="24"/>
          <w:szCs w:val="24"/>
          <w:lang w:val="en-GB"/>
        </w:rPr>
        <w:t>rationes decidendi</w:t>
      </w:r>
      <w:r w:rsidRPr="00813E2C">
        <w:rPr>
          <w:rFonts w:ascii="Times New Roman" w:hAnsi="Times New Roman"/>
          <w:sz w:val="24"/>
          <w:szCs w:val="24"/>
          <w:lang w:val="en-GB"/>
        </w:rPr>
        <w:t xml:space="preserve"> formulated in the landmark decisions of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“This collage effect is </w:t>
      </w:r>
      <w:r w:rsidRPr="00813E2C">
        <w:rPr>
          <w:rFonts w:ascii="Times New Roman" w:hAnsi="Times New Roman"/>
          <w:sz w:val="24"/>
          <w:szCs w:val="24"/>
          <w:lang w:val="en-GB"/>
        </w:rPr>
        <w:lastRenderedPageBreak/>
        <w:t>typical for Community case law – to such an extent that in some cases it may seem as if it is the formulas which are speaking, instead of the Court and the preferences of its members”</w:t>
      </w:r>
      <w:r>
        <w:rPr>
          <w:rFonts w:ascii="Times New Roman" w:hAnsi="Times New Roman"/>
          <w:sz w:val="24"/>
          <w:szCs w:val="24"/>
          <w:lang w:val="en-GB"/>
        </w:rPr>
        <w:t>.</w:t>
      </w:r>
      <w:r w:rsidRPr="00813E2C">
        <w:rPr>
          <w:rFonts w:ascii="Times New Roman" w:hAnsi="Times New Roman"/>
          <w:sz w:val="24"/>
          <w:szCs w:val="24"/>
          <w:vertAlign w:val="superscript"/>
          <w:lang w:val="en-GB"/>
        </w:rPr>
        <w:footnoteReference w:id="175"/>
      </w:r>
    </w:p>
    <w:p w:rsidR="005E6612" w:rsidRPr="00813E2C" w:rsidRDefault="005E6612" w:rsidP="00B27D8E">
      <w:pPr>
        <w:spacing w:line="240" w:lineRule="auto"/>
        <w:jc w:val="both"/>
        <w:rPr>
          <w:rFonts w:ascii="Times New Roman" w:hAnsi="Times New Roman"/>
          <w:i/>
          <w:iCs/>
          <w:sz w:val="24"/>
          <w:szCs w:val="24"/>
          <w:lang w:val="en-GB"/>
        </w:rPr>
      </w:pPr>
      <w:r>
        <w:rPr>
          <w:rFonts w:ascii="Times New Roman" w:hAnsi="Times New Roman"/>
          <w:sz w:val="24"/>
          <w:szCs w:val="24"/>
          <w:lang w:val="en-GB"/>
        </w:rPr>
        <w:br w:type="column"/>
      </w:r>
      <w:r>
        <w:rPr>
          <w:rFonts w:ascii="Times New Roman" w:hAnsi="Times New Roman"/>
          <w:iCs/>
          <w:sz w:val="24"/>
          <w:szCs w:val="24"/>
          <w:lang w:val="en-GB"/>
        </w:rPr>
        <w:lastRenderedPageBreak/>
        <w:t>5</w:t>
      </w:r>
      <w:r w:rsidRPr="00813E2C">
        <w:rPr>
          <w:rFonts w:ascii="Times New Roman" w:hAnsi="Times New Roman"/>
          <w:iCs/>
          <w:sz w:val="24"/>
          <w:szCs w:val="24"/>
          <w:lang w:val="en-GB"/>
        </w:rPr>
        <w:t>.</w:t>
      </w:r>
      <w:r>
        <w:rPr>
          <w:rFonts w:ascii="Times New Roman" w:hAnsi="Times New Roman"/>
          <w:iCs/>
          <w:sz w:val="24"/>
          <w:szCs w:val="24"/>
          <w:lang w:val="en-GB"/>
        </w:rPr>
        <w:t xml:space="preserve"> </w:t>
      </w:r>
      <w:r w:rsidRPr="00813E2C">
        <w:rPr>
          <w:rFonts w:ascii="Times New Roman" w:hAnsi="Times New Roman"/>
          <w:i/>
          <w:iCs/>
          <w:sz w:val="24"/>
          <w:szCs w:val="24"/>
          <w:lang w:val="en-GB"/>
        </w:rPr>
        <w:t xml:space="preserve">Framing the </w:t>
      </w:r>
      <w:r>
        <w:rPr>
          <w:rFonts w:ascii="Times New Roman" w:hAnsi="Times New Roman"/>
          <w:i/>
          <w:iCs/>
          <w:sz w:val="24"/>
          <w:szCs w:val="24"/>
          <w:lang w:val="en-GB"/>
        </w:rPr>
        <w:t>c</w:t>
      </w:r>
      <w:r w:rsidRPr="00813E2C">
        <w:rPr>
          <w:rFonts w:ascii="Times New Roman" w:hAnsi="Times New Roman"/>
          <w:i/>
          <w:iCs/>
          <w:sz w:val="24"/>
          <w:szCs w:val="24"/>
          <w:lang w:val="en-GB"/>
        </w:rPr>
        <w:t xml:space="preserve">onstitutional </w:t>
      </w:r>
      <w:r>
        <w:rPr>
          <w:rFonts w:ascii="Times New Roman" w:hAnsi="Times New Roman"/>
          <w:i/>
          <w:iCs/>
          <w:sz w:val="24"/>
          <w:szCs w:val="24"/>
          <w:lang w:val="en-GB"/>
        </w:rPr>
        <w:t>i</w:t>
      </w:r>
      <w:r w:rsidRPr="00813E2C">
        <w:rPr>
          <w:rFonts w:ascii="Times New Roman" w:hAnsi="Times New Roman"/>
          <w:i/>
          <w:iCs/>
          <w:sz w:val="24"/>
          <w:szCs w:val="24"/>
          <w:lang w:val="en-GB"/>
        </w:rPr>
        <w:t xml:space="preserve">ssues as </w:t>
      </w:r>
      <w:r>
        <w:rPr>
          <w:rFonts w:ascii="Times New Roman" w:hAnsi="Times New Roman"/>
          <w:i/>
          <w:iCs/>
          <w:sz w:val="24"/>
          <w:szCs w:val="24"/>
          <w:lang w:val="en-GB"/>
        </w:rPr>
        <w:t>n</w:t>
      </w:r>
      <w:r w:rsidRPr="00813E2C">
        <w:rPr>
          <w:rFonts w:ascii="Times New Roman" w:hAnsi="Times New Roman"/>
          <w:i/>
          <w:iCs/>
          <w:sz w:val="24"/>
          <w:szCs w:val="24"/>
          <w:lang w:val="en-GB"/>
        </w:rPr>
        <w:t>on-</w:t>
      </w:r>
      <w:r>
        <w:rPr>
          <w:rFonts w:ascii="Times New Roman" w:hAnsi="Times New Roman"/>
          <w:i/>
          <w:iCs/>
          <w:sz w:val="24"/>
          <w:szCs w:val="24"/>
          <w:lang w:val="en-GB"/>
        </w:rPr>
        <w:t>c</w:t>
      </w:r>
      <w:r w:rsidRPr="00813E2C">
        <w:rPr>
          <w:rFonts w:ascii="Times New Roman" w:hAnsi="Times New Roman"/>
          <w:i/>
          <w:iCs/>
          <w:sz w:val="24"/>
          <w:szCs w:val="24"/>
          <w:lang w:val="en-GB"/>
        </w:rPr>
        <w:t xml:space="preserve">onstitutional </w:t>
      </w:r>
      <w:r>
        <w:rPr>
          <w:rFonts w:ascii="Times New Roman" w:hAnsi="Times New Roman"/>
          <w:i/>
          <w:iCs/>
          <w:sz w:val="24"/>
          <w:szCs w:val="24"/>
          <w:lang w:val="en-GB"/>
        </w:rPr>
        <w:t>i</w:t>
      </w:r>
      <w:r w:rsidRPr="00813E2C">
        <w:rPr>
          <w:rFonts w:ascii="Times New Roman" w:hAnsi="Times New Roman"/>
          <w:i/>
          <w:iCs/>
          <w:sz w:val="24"/>
          <w:szCs w:val="24"/>
          <w:lang w:val="en-GB"/>
        </w:rPr>
        <w:t>ssues</w:t>
      </w:r>
    </w:p>
    <w:p w:rsidR="005E6612" w:rsidRPr="00813E2C" w:rsidRDefault="005E6612" w:rsidP="00B27D8E">
      <w:pPr>
        <w:spacing w:line="240" w:lineRule="auto"/>
        <w:jc w:val="both"/>
        <w:rPr>
          <w:rFonts w:ascii="Times New Roman" w:hAnsi="Times New Roman"/>
          <w:iCs/>
          <w:sz w:val="24"/>
          <w:szCs w:val="24"/>
          <w:lang w:val="en-GB"/>
        </w:rPr>
      </w:pPr>
      <w:r w:rsidRPr="00813E2C">
        <w:rPr>
          <w:rFonts w:ascii="Times New Roman" w:hAnsi="Times New Roman"/>
          <w:iCs/>
          <w:sz w:val="24"/>
          <w:szCs w:val="24"/>
          <w:lang w:val="en-GB"/>
        </w:rPr>
        <w:t xml:space="preserve">Of the 40 cases included in the Sample, 14 dealt with fundamental rights issues, </w:t>
      </w:r>
      <w:r>
        <w:rPr>
          <w:rFonts w:ascii="Times New Roman" w:hAnsi="Times New Roman"/>
          <w:iCs/>
          <w:sz w:val="24"/>
          <w:szCs w:val="24"/>
          <w:lang w:val="en-GB"/>
        </w:rPr>
        <w:t>four</w:t>
      </w:r>
      <w:r w:rsidRPr="00813E2C">
        <w:rPr>
          <w:rFonts w:ascii="Times New Roman" w:hAnsi="Times New Roman"/>
          <w:iCs/>
          <w:sz w:val="24"/>
          <w:szCs w:val="24"/>
          <w:lang w:val="en-GB"/>
        </w:rPr>
        <w:t xml:space="preserve"> with issues relating to the organisation of the </w:t>
      </w:r>
      <w:r>
        <w:rPr>
          <w:rFonts w:ascii="Times New Roman" w:hAnsi="Times New Roman"/>
          <w:iCs/>
          <w:sz w:val="24"/>
          <w:szCs w:val="24"/>
          <w:lang w:val="en-GB"/>
        </w:rPr>
        <w:t xml:space="preserve">Community </w:t>
      </w:r>
      <w:r w:rsidRPr="00813E2C">
        <w:rPr>
          <w:rFonts w:ascii="Times New Roman" w:hAnsi="Times New Roman"/>
          <w:iCs/>
          <w:sz w:val="24"/>
          <w:szCs w:val="24"/>
          <w:lang w:val="en-GB"/>
        </w:rPr>
        <w:t xml:space="preserve">and in particular to the “horizontal” division of competences between the institutions of the EC/EU, and 24 dealt with other issues such as the system of sources and the legal effects of </w:t>
      </w:r>
      <w:r>
        <w:rPr>
          <w:rFonts w:ascii="Times New Roman" w:hAnsi="Times New Roman"/>
          <w:iCs/>
          <w:sz w:val="24"/>
          <w:szCs w:val="24"/>
          <w:lang w:val="en-GB"/>
        </w:rPr>
        <w:t xml:space="preserve">European </w:t>
      </w:r>
      <w:r w:rsidRPr="00813E2C">
        <w:rPr>
          <w:rFonts w:ascii="Times New Roman" w:hAnsi="Times New Roman"/>
          <w:iCs/>
          <w:sz w:val="24"/>
          <w:szCs w:val="24"/>
          <w:lang w:val="en-GB"/>
        </w:rPr>
        <w:t xml:space="preserve">legal acts, the interpretative duties incumbent upon national judges, the civil liability for the violation of </w:t>
      </w:r>
      <w:r>
        <w:rPr>
          <w:rFonts w:ascii="Times New Roman" w:hAnsi="Times New Roman"/>
          <w:iCs/>
          <w:sz w:val="24"/>
          <w:szCs w:val="24"/>
          <w:lang w:val="en-GB"/>
        </w:rPr>
        <w:t xml:space="preserve">European </w:t>
      </w:r>
      <w:r w:rsidRPr="00813E2C">
        <w:rPr>
          <w:rFonts w:ascii="Times New Roman" w:hAnsi="Times New Roman"/>
          <w:iCs/>
          <w:sz w:val="24"/>
          <w:szCs w:val="24"/>
          <w:lang w:val="en-GB"/>
        </w:rPr>
        <w:t>law and the governing principles of the common market. Two cases (</w:t>
      </w:r>
      <w:r w:rsidRPr="00813E2C">
        <w:rPr>
          <w:rFonts w:ascii="Times New Roman" w:hAnsi="Times New Roman"/>
          <w:i/>
          <w:sz w:val="24"/>
          <w:szCs w:val="24"/>
          <w:lang w:val="en-GB"/>
        </w:rPr>
        <w:t>Defrenne</w:t>
      </w:r>
      <w:r w:rsidRPr="00813E2C">
        <w:rPr>
          <w:rFonts w:ascii="Times New Roman" w:hAnsi="Times New Roman"/>
          <w:iCs/>
          <w:sz w:val="24"/>
          <w:szCs w:val="24"/>
          <w:lang w:val="en-GB"/>
        </w:rPr>
        <w:t xml:space="preserve">, 1976, and </w:t>
      </w:r>
      <w:r w:rsidRPr="00813E2C">
        <w:rPr>
          <w:rFonts w:ascii="Times New Roman" w:hAnsi="Times New Roman"/>
          <w:i/>
          <w:sz w:val="24"/>
          <w:szCs w:val="24"/>
          <w:lang w:val="en-GB"/>
        </w:rPr>
        <w:t>Mangoldt</w:t>
      </w:r>
      <w:r w:rsidRPr="00813E2C">
        <w:rPr>
          <w:rFonts w:ascii="Times New Roman" w:hAnsi="Times New Roman"/>
          <w:iCs/>
          <w:sz w:val="24"/>
          <w:szCs w:val="24"/>
          <w:lang w:val="en-GB"/>
        </w:rPr>
        <w:t xml:space="preserve">, 2005) can be regarded as involving both fundamental rights issues (non-discrimination on the grounds of sex and age) and issues relating to the effects of the rules of </w:t>
      </w:r>
      <w:r>
        <w:rPr>
          <w:rFonts w:ascii="Times New Roman" w:hAnsi="Times New Roman"/>
          <w:iCs/>
          <w:sz w:val="24"/>
          <w:szCs w:val="24"/>
          <w:lang w:val="en-GB"/>
        </w:rPr>
        <w:t xml:space="preserve">European </w:t>
      </w:r>
      <w:r w:rsidRPr="00813E2C">
        <w:rPr>
          <w:rFonts w:ascii="Times New Roman" w:hAnsi="Times New Roman"/>
          <w:iCs/>
          <w:sz w:val="24"/>
          <w:szCs w:val="24"/>
          <w:lang w:val="en-GB"/>
        </w:rPr>
        <w:t>law.</w:t>
      </w:r>
      <w:r>
        <w:rPr>
          <w:rFonts w:ascii="Times New Roman" w:hAnsi="Times New Roman"/>
          <w:iCs/>
          <w:sz w:val="24"/>
          <w:szCs w:val="24"/>
          <w:lang w:val="en-GB"/>
        </w:rPr>
        <w:t xml:space="preserve">  </w:t>
      </w:r>
    </w:p>
    <w:p w:rsidR="005E6612" w:rsidRPr="00813E2C" w:rsidRDefault="005E6612" w:rsidP="00B27D8E">
      <w:pPr>
        <w:spacing w:line="240" w:lineRule="auto"/>
        <w:jc w:val="both"/>
        <w:rPr>
          <w:rFonts w:ascii="Times New Roman" w:hAnsi="Times New Roman"/>
          <w:iCs/>
          <w:sz w:val="24"/>
          <w:szCs w:val="24"/>
          <w:lang w:val="en-GB"/>
        </w:rPr>
      </w:pPr>
      <w:r w:rsidRPr="00813E2C">
        <w:rPr>
          <w:rFonts w:ascii="Times New Roman" w:hAnsi="Times New Roman"/>
          <w:iCs/>
          <w:sz w:val="24"/>
          <w:szCs w:val="24"/>
          <w:lang w:val="en-GB"/>
        </w:rPr>
        <w:t xml:space="preserve">The </w:t>
      </w:r>
      <w:r>
        <w:rPr>
          <w:rFonts w:ascii="Times New Roman" w:hAnsi="Times New Roman"/>
          <w:iCs/>
          <w:sz w:val="24"/>
          <w:szCs w:val="24"/>
          <w:lang w:val="en-GB"/>
        </w:rPr>
        <w:t xml:space="preserve">significance of the </w:t>
      </w:r>
      <w:r w:rsidRPr="00813E2C">
        <w:rPr>
          <w:rFonts w:ascii="Times New Roman" w:hAnsi="Times New Roman"/>
          <w:iCs/>
          <w:sz w:val="24"/>
          <w:szCs w:val="24"/>
          <w:lang w:val="en-GB"/>
        </w:rPr>
        <w:t xml:space="preserve">relatively high number of </w:t>
      </w:r>
      <w:r>
        <w:rPr>
          <w:rFonts w:ascii="Times New Roman" w:hAnsi="Times New Roman"/>
          <w:iCs/>
          <w:sz w:val="24"/>
          <w:szCs w:val="24"/>
          <w:lang w:val="en-GB"/>
        </w:rPr>
        <w:t>important</w:t>
      </w:r>
      <w:r w:rsidRPr="00813E2C">
        <w:rPr>
          <w:rFonts w:ascii="Times New Roman" w:hAnsi="Times New Roman"/>
          <w:iCs/>
          <w:sz w:val="24"/>
          <w:szCs w:val="24"/>
          <w:lang w:val="en-GB"/>
        </w:rPr>
        <w:t xml:space="preserve"> </w:t>
      </w:r>
      <w:r>
        <w:rPr>
          <w:rFonts w:ascii="Times New Roman" w:hAnsi="Times New Roman"/>
          <w:iCs/>
          <w:sz w:val="24"/>
          <w:szCs w:val="24"/>
          <w:lang w:val="en-GB"/>
        </w:rPr>
        <w:t>judgme</w:t>
      </w:r>
      <w:r w:rsidRPr="00813E2C">
        <w:rPr>
          <w:rFonts w:ascii="Times New Roman" w:hAnsi="Times New Roman"/>
          <w:iCs/>
          <w:sz w:val="24"/>
          <w:szCs w:val="24"/>
          <w:lang w:val="en-GB"/>
        </w:rPr>
        <w:t>nts that deal with or mention fundamental rights can easily be misunderstood. E</w:t>
      </w:r>
      <w:r>
        <w:rPr>
          <w:rFonts w:ascii="Times New Roman" w:hAnsi="Times New Roman"/>
          <w:iCs/>
          <w:sz w:val="24"/>
          <w:szCs w:val="24"/>
          <w:lang w:val="en-GB"/>
        </w:rPr>
        <w:t>U</w:t>
      </w:r>
      <w:r w:rsidRPr="00813E2C">
        <w:rPr>
          <w:rFonts w:ascii="Times New Roman" w:hAnsi="Times New Roman"/>
          <w:iCs/>
          <w:sz w:val="24"/>
          <w:szCs w:val="24"/>
          <w:lang w:val="en-GB"/>
        </w:rPr>
        <w:t xml:space="preserve"> legal scholarship tends to consider as more </w:t>
      </w:r>
      <w:r>
        <w:rPr>
          <w:rFonts w:ascii="Times New Roman" w:hAnsi="Times New Roman"/>
          <w:iCs/>
          <w:sz w:val="24"/>
          <w:szCs w:val="24"/>
          <w:lang w:val="en-GB"/>
        </w:rPr>
        <w:t>important</w:t>
      </w:r>
      <w:r w:rsidRPr="00813E2C">
        <w:rPr>
          <w:rFonts w:ascii="Times New Roman" w:hAnsi="Times New Roman"/>
          <w:iCs/>
          <w:sz w:val="24"/>
          <w:szCs w:val="24"/>
          <w:lang w:val="en-GB"/>
        </w:rPr>
        <w:t xml:space="preserve"> those </w:t>
      </w:r>
      <w:r>
        <w:rPr>
          <w:rFonts w:ascii="Times New Roman" w:hAnsi="Times New Roman"/>
          <w:iCs/>
          <w:sz w:val="24"/>
          <w:szCs w:val="24"/>
          <w:lang w:val="en-GB"/>
        </w:rPr>
        <w:t>judgme</w:t>
      </w:r>
      <w:r w:rsidRPr="00813E2C">
        <w:rPr>
          <w:rFonts w:ascii="Times New Roman" w:hAnsi="Times New Roman"/>
          <w:iCs/>
          <w:sz w:val="24"/>
          <w:szCs w:val="24"/>
          <w:lang w:val="en-GB"/>
        </w:rPr>
        <w:t xml:space="preserve">nts that exhibit and refine some sort of doctrine of fundamental rights and principles. The frequency of </w:t>
      </w:r>
      <w:r>
        <w:rPr>
          <w:rFonts w:ascii="Times New Roman" w:hAnsi="Times New Roman"/>
          <w:iCs/>
          <w:sz w:val="24"/>
          <w:szCs w:val="24"/>
          <w:lang w:val="en-GB"/>
        </w:rPr>
        <w:t>important</w:t>
      </w:r>
      <w:r w:rsidRPr="00813E2C">
        <w:rPr>
          <w:rFonts w:ascii="Times New Roman" w:hAnsi="Times New Roman"/>
          <w:iCs/>
          <w:sz w:val="24"/>
          <w:szCs w:val="24"/>
          <w:lang w:val="en-GB"/>
        </w:rPr>
        <w:t xml:space="preserve"> </w:t>
      </w:r>
      <w:r>
        <w:rPr>
          <w:rFonts w:ascii="Times New Roman" w:hAnsi="Times New Roman"/>
          <w:iCs/>
          <w:sz w:val="24"/>
          <w:szCs w:val="24"/>
          <w:lang w:val="en-GB"/>
        </w:rPr>
        <w:t>judgme</w:t>
      </w:r>
      <w:r w:rsidRPr="00813E2C">
        <w:rPr>
          <w:rFonts w:ascii="Times New Roman" w:hAnsi="Times New Roman"/>
          <w:iCs/>
          <w:sz w:val="24"/>
          <w:szCs w:val="24"/>
          <w:lang w:val="en-GB"/>
        </w:rPr>
        <w:t>nts on fundamental rights issues should be regarded as much more revealing of the prevailing constitutionalist tendencies of E</w:t>
      </w:r>
      <w:r>
        <w:rPr>
          <w:rFonts w:ascii="Times New Roman" w:hAnsi="Times New Roman"/>
          <w:iCs/>
          <w:sz w:val="24"/>
          <w:szCs w:val="24"/>
          <w:lang w:val="en-GB"/>
        </w:rPr>
        <w:t>U legal scholarship tha</w:t>
      </w:r>
      <w:r w:rsidRPr="00813E2C">
        <w:rPr>
          <w:rFonts w:ascii="Times New Roman" w:hAnsi="Times New Roman"/>
          <w:iCs/>
          <w:sz w:val="24"/>
          <w:szCs w:val="24"/>
          <w:lang w:val="en-GB"/>
        </w:rPr>
        <w:t xml:space="preserve">n it is of the features of the legal reasoning usually adopted by the Court. </w:t>
      </w:r>
      <w:r>
        <w:rPr>
          <w:rFonts w:ascii="Times New Roman" w:hAnsi="Times New Roman"/>
          <w:iCs/>
          <w:sz w:val="24"/>
          <w:szCs w:val="24"/>
          <w:lang w:val="en-GB"/>
        </w:rPr>
        <w:t>In fact, from the 1960s onwards</w:t>
      </w:r>
      <w:r w:rsidRPr="00813E2C">
        <w:rPr>
          <w:rFonts w:ascii="Times New Roman" w:hAnsi="Times New Roman"/>
          <w:iCs/>
          <w:sz w:val="24"/>
          <w:szCs w:val="24"/>
          <w:lang w:val="en-GB"/>
        </w:rPr>
        <w:t xml:space="preserve"> there has been an increasing doctrinal and institutional pressure on the Court for it to embrace what might be called – no irony is meant – “constitutional rhetoric”: a narrative style of reasoning and argumentative form that resembles that of other constitutional courts and rights-based jurisdictions such as the US Supreme Court, the German Constitutional Court and the ECtHR. </w:t>
      </w:r>
    </w:p>
    <w:p w:rsidR="005E6612" w:rsidRPr="00813E2C" w:rsidRDefault="005E6612" w:rsidP="00B27D8E">
      <w:pPr>
        <w:spacing w:line="240" w:lineRule="auto"/>
        <w:jc w:val="both"/>
        <w:rPr>
          <w:rFonts w:ascii="Times New Roman" w:hAnsi="Times New Roman"/>
          <w:iCs/>
          <w:sz w:val="24"/>
          <w:szCs w:val="24"/>
          <w:lang w:val="en-GB"/>
        </w:rPr>
      </w:pPr>
      <w:r w:rsidRPr="00813E2C">
        <w:rPr>
          <w:rFonts w:ascii="Times New Roman" w:hAnsi="Times New Roman"/>
          <w:iCs/>
          <w:sz w:val="24"/>
          <w:szCs w:val="24"/>
          <w:lang w:val="en-GB"/>
        </w:rPr>
        <w:t>The institutional pressure on the Court results from a series of initiatives that can be traced back to the “Declaration on the European Identity” of 1973, which created the notion of the “special rights” of European citizens, and which became increasingly important in the European constitutional debate following the Maastricht Treaty. The Maastricht Treaty and the subsequent amendments to the Treaties adopted at Nice, Amsterdam and Lisbon solemnly entrenched certain constitutional principles a</w:t>
      </w:r>
      <w:r>
        <w:rPr>
          <w:rFonts w:ascii="Times New Roman" w:hAnsi="Times New Roman"/>
          <w:iCs/>
          <w:sz w:val="24"/>
          <w:szCs w:val="24"/>
          <w:lang w:val="en-GB"/>
        </w:rPr>
        <w:t>s founding principles of the EU</w:t>
      </w:r>
      <w:r w:rsidRPr="00813E2C">
        <w:rPr>
          <w:rFonts w:ascii="Times New Roman" w:hAnsi="Times New Roman"/>
          <w:iCs/>
          <w:sz w:val="24"/>
          <w:szCs w:val="24"/>
          <w:lang w:val="en-GB"/>
        </w:rPr>
        <w:t xml:space="preserve"> and eventually led to the adoption of the Charter of Fundamental Rights of the European Union. In the long run, the adoption of the Charter and of the language of rights is likely to have an increasing effect on the way in which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xml:space="preserve"> constructs the cases upon which it is called to decide</w:t>
      </w:r>
      <w:r>
        <w:rPr>
          <w:rFonts w:ascii="Times New Roman" w:hAnsi="Times New Roman"/>
          <w:iCs/>
          <w:sz w:val="24"/>
          <w:szCs w:val="24"/>
          <w:lang w:val="en-GB"/>
        </w:rPr>
        <w:t>.</w:t>
      </w:r>
      <w:r w:rsidRPr="00813E2C">
        <w:rPr>
          <w:rFonts w:ascii="Times New Roman" w:hAnsi="Times New Roman"/>
          <w:iCs/>
          <w:sz w:val="24"/>
          <w:szCs w:val="24"/>
          <w:vertAlign w:val="superscript"/>
          <w:lang w:val="en-GB"/>
        </w:rPr>
        <w:footnoteReference w:id="176"/>
      </w:r>
      <w:r w:rsidRPr="00813E2C">
        <w:rPr>
          <w:rFonts w:ascii="Times New Roman" w:hAnsi="Times New Roman"/>
          <w:iCs/>
          <w:sz w:val="24"/>
          <w:szCs w:val="24"/>
          <w:lang w:val="en-GB"/>
        </w:rPr>
        <w:t xml:space="preserve"> </w:t>
      </w:r>
    </w:p>
    <w:p w:rsidR="005E6612" w:rsidRPr="00813E2C" w:rsidRDefault="005E6612" w:rsidP="00B27D8E">
      <w:pPr>
        <w:spacing w:line="240" w:lineRule="auto"/>
        <w:jc w:val="both"/>
        <w:rPr>
          <w:rFonts w:ascii="Times New Roman" w:hAnsi="Times New Roman"/>
          <w:iCs/>
          <w:sz w:val="24"/>
          <w:szCs w:val="24"/>
          <w:lang w:val="en-GB"/>
        </w:rPr>
      </w:pPr>
      <w:r w:rsidRPr="00813E2C">
        <w:rPr>
          <w:rFonts w:ascii="Times New Roman" w:hAnsi="Times New Roman"/>
          <w:iCs/>
          <w:sz w:val="24"/>
          <w:szCs w:val="24"/>
          <w:lang w:val="en-GB"/>
        </w:rPr>
        <w:t xml:space="preserve">The legal culture and the political environment surrounding the Court generally endorse these tendencies by urging the Court to adopt a different and more principled style of legal argumentation. As the Community has evolved from a market organisation into a more comprehensive form of constitutional entity, so the reasoning goes,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xml:space="preserve"> should stop being the promoter of an integration process entirely based on market freedoms and start to “take (other) rights seriously”</w:t>
      </w:r>
      <w:r>
        <w:rPr>
          <w:rFonts w:ascii="Times New Roman" w:hAnsi="Times New Roman"/>
          <w:iCs/>
          <w:sz w:val="24"/>
          <w:szCs w:val="24"/>
          <w:lang w:val="en-GB"/>
        </w:rPr>
        <w:t>.</w:t>
      </w:r>
      <w:r w:rsidRPr="00813E2C">
        <w:rPr>
          <w:rFonts w:ascii="Times New Roman" w:hAnsi="Times New Roman"/>
          <w:iCs/>
          <w:sz w:val="24"/>
          <w:szCs w:val="24"/>
          <w:vertAlign w:val="superscript"/>
          <w:lang w:val="en-GB"/>
        </w:rPr>
        <w:footnoteReference w:id="177"/>
      </w:r>
      <w:r w:rsidRPr="00813E2C">
        <w:rPr>
          <w:rFonts w:ascii="Times New Roman" w:hAnsi="Times New Roman"/>
          <w:iCs/>
          <w:sz w:val="24"/>
          <w:szCs w:val="24"/>
          <w:lang w:val="en-GB"/>
        </w:rPr>
        <w:t xml:space="preserve"> </w:t>
      </w:r>
    </w:p>
    <w:p w:rsidR="005E6612" w:rsidRPr="00813E2C" w:rsidRDefault="005E6612" w:rsidP="00B27D8E">
      <w:pPr>
        <w:spacing w:line="240" w:lineRule="auto"/>
        <w:jc w:val="both"/>
        <w:rPr>
          <w:rFonts w:ascii="Times New Roman" w:hAnsi="Times New Roman"/>
          <w:iCs/>
          <w:sz w:val="24"/>
          <w:szCs w:val="24"/>
          <w:lang w:val="en-GB"/>
        </w:rPr>
      </w:pPr>
      <w:r w:rsidRPr="00813E2C">
        <w:rPr>
          <w:rFonts w:ascii="Times New Roman" w:hAnsi="Times New Roman"/>
          <w:iCs/>
          <w:sz w:val="24"/>
          <w:szCs w:val="24"/>
          <w:lang w:val="en-GB"/>
        </w:rPr>
        <w:t xml:space="preserve">The criticism of the rather uninspiring style of legal argumentation adopted by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xml:space="preserve"> is often based on the theory of deliberative democracy – democracy as</w:t>
      </w:r>
      <w:r>
        <w:rPr>
          <w:rFonts w:ascii="Times New Roman" w:hAnsi="Times New Roman"/>
          <w:iCs/>
          <w:sz w:val="24"/>
          <w:szCs w:val="24"/>
          <w:lang w:val="en-GB"/>
        </w:rPr>
        <w:t xml:space="preserve"> a</w:t>
      </w:r>
      <w:r w:rsidRPr="00813E2C">
        <w:rPr>
          <w:rFonts w:ascii="Times New Roman" w:hAnsi="Times New Roman"/>
          <w:iCs/>
          <w:sz w:val="24"/>
          <w:szCs w:val="24"/>
          <w:lang w:val="en-GB"/>
        </w:rPr>
        <w:t xml:space="preserve"> form of government that allows for</w:t>
      </w:r>
      <w:r>
        <w:rPr>
          <w:rFonts w:ascii="Times New Roman" w:hAnsi="Times New Roman"/>
          <w:iCs/>
          <w:sz w:val="24"/>
          <w:szCs w:val="24"/>
          <w:lang w:val="en-GB"/>
        </w:rPr>
        <w:t xml:space="preserve"> </w:t>
      </w:r>
      <w:r w:rsidRPr="00813E2C">
        <w:rPr>
          <w:rFonts w:ascii="Times New Roman" w:hAnsi="Times New Roman"/>
          <w:iCs/>
          <w:sz w:val="24"/>
          <w:szCs w:val="24"/>
          <w:lang w:val="en-GB"/>
        </w:rPr>
        <w:t>open, public and principled argument</w:t>
      </w:r>
      <w:r>
        <w:rPr>
          <w:rFonts w:ascii="Times New Roman" w:hAnsi="Times New Roman"/>
          <w:iCs/>
          <w:sz w:val="24"/>
          <w:szCs w:val="24"/>
          <w:lang w:val="en-GB"/>
        </w:rPr>
        <w:t>ation</w:t>
      </w:r>
      <w:r w:rsidRPr="00813E2C">
        <w:rPr>
          <w:rFonts w:ascii="Times New Roman" w:hAnsi="Times New Roman"/>
          <w:iCs/>
          <w:sz w:val="24"/>
          <w:szCs w:val="24"/>
          <w:lang w:val="en-GB"/>
        </w:rPr>
        <w:t xml:space="preserve"> leading to rational consensus – and/or on the adoption of an ideal of constitutional patriotism, according to which constitutional </w:t>
      </w:r>
      <w:r>
        <w:rPr>
          <w:rFonts w:ascii="Times New Roman" w:hAnsi="Times New Roman"/>
          <w:iCs/>
          <w:sz w:val="24"/>
          <w:szCs w:val="24"/>
          <w:lang w:val="en-GB"/>
        </w:rPr>
        <w:t>discourse can be crucial for fo</w:t>
      </w:r>
      <w:r w:rsidRPr="00813E2C">
        <w:rPr>
          <w:rFonts w:ascii="Times New Roman" w:hAnsi="Times New Roman"/>
          <w:iCs/>
          <w:sz w:val="24"/>
          <w:szCs w:val="24"/>
          <w:lang w:val="en-GB"/>
        </w:rPr>
        <w:t>stering a sense of civic identity</w:t>
      </w:r>
      <w:r>
        <w:rPr>
          <w:rFonts w:ascii="Times New Roman" w:hAnsi="Times New Roman"/>
          <w:iCs/>
          <w:sz w:val="24"/>
          <w:szCs w:val="24"/>
          <w:lang w:val="en-GB"/>
        </w:rPr>
        <w:t>.</w:t>
      </w:r>
      <w:r w:rsidRPr="00813E2C">
        <w:rPr>
          <w:rFonts w:ascii="Times New Roman" w:hAnsi="Times New Roman"/>
          <w:bCs/>
          <w:iCs/>
          <w:sz w:val="24"/>
          <w:szCs w:val="24"/>
          <w:vertAlign w:val="superscript"/>
          <w:lang w:val="en-GB"/>
        </w:rPr>
        <w:footnoteReference w:id="178"/>
      </w:r>
      <w:r w:rsidRPr="00813E2C">
        <w:rPr>
          <w:rFonts w:ascii="Times New Roman" w:hAnsi="Times New Roman"/>
          <w:bCs/>
          <w:iCs/>
          <w:sz w:val="24"/>
          <w:szCs w:val="24"/>
          <w:lang w:val="en-GB"/>
        </w:rPr>
        <w:t xml:space="preserve"> </w:t>
      </w:r>
      <w:r w:rsidRPr="00813E2C">
        <w:rPr>
          <w:rFonts w:ascii="Times New Roman" w:hAnsi="Times New Roman"/>
          <w:iCs/>
          <w:sz w:val="24"/>
          <w:szCs w:val="24"/>
          <w:lang w:val="en-GB"/>
        </w:rPr>
        <w:t xml:space="preserve">Those who require legal culture to contribute to the forging of the “We, the Europeans” expect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xml:space="preserve"> to expound and develop, if not the </w:t>
      </w:r>
      <w:r w:rsidRPr="00813E2C">
        <w:rPr>
          <w:rFonts w:ascii="Times New Roman" w:hAnsi="Times New Roman"/>
          <w:iCs/>
          <w:sz w:val="24"/>
          <w:szCs w:val="24"/>
          <w:lang w:val="en-GB"/>
        </w:rPr>
        <w:lastRenderedPageBreak/>
        <w:t xml:space="preserve">ethical foundations of the Union as the common constitutional home of the Europeans, at least the substantive reasons for its decisions. The adoption of the language of rights is seen as a necessary step towards the construction of a feeling of shared identity </w:t>
      </w:r>
      <w:r>
        <w:rPr>
          <w:rFonts w:ascii="Times New Roman" w:hAnsi="Times New Roman"/>
          <w:iCs/>
          <w:sz w:val="24"/>
          <w:szCs w:val="24"/>
          <w:lang w:val="en-GB"/>
        </w:rPr>
        <w:t>and</w:t>
      </w:r>
      <w:r w:rsidRPr="00813E2C">
        <w:rPr>
          <w:rFonts w:ascii="Times New Roman" w:hAnsi="Times New Roman"/>
          <w:iCs/>
          <w:sz w:val="24"/>
          <w:szCs w:val="24"/>
          <w:lang w:val="en-GB"/>
        </w:rPr>
        <w:t xml:space="preserve"> </w:t>
      </w:r>
      <w:r>
        <w:rPr>
          <w:rFonts w:ascii="Times New Roman" w:hAnsi="Times New Roman"/>
          <w:iCs/>
          <w:sz w:val="24"/>
          <w:szCs w:val="24"/>
          <w:lang w:val="en-GB"/>
        </w:rPr>
        <w:t xml:space="preserve">the development </w:t>
      </w:r>
      <w:r w:rsidRPr="00813E2C">
        <w:rPr>
          <w:rFonts w:ascii="Times New Roman" w:hAnsi="Times New Roman"/>
          <w:iCs/>
          <w:sz w:val="24"/>
          <w:szCs w:val="24"/>
          <w:lang w:val="en-GB"/>
        </w:rPr>
        <w:t>of a common “constitutional conversation” with the other courts of Europe</w:t>
      </w:r>
      <w:r>
        <w:rPr>
          <w:rFonts w:ascii="Times New Roman" w:hAnsi="Times New Roman"/>
          <w:iCs/>
          <w:sz w:val="24"/>
          <w:szCs w:val="24"/>
          <w:lang w:val="en-GB"/>
        </w:rPr>
        <w:t>.</w:t>
      </w:r>
      <w:r w:rsidRPr="00813E2C">
        <w:rPr>
          <w:rFonts w:ascii="Times New Roman" w:hAnsi="Times New Roman"/>
          <w:iCs/>
          <w:sz w:val="24"/>
          <w:szCs w:val="24"/>
          <w:vertAlign w:val="superscript"/>
          <w:lang w:val="en-GB"/>
        </w:rPr>
        <w:footnoteReference w:id="179"/>
      </w:r>
      <w:r w:rsidRPr="00813E2C">
        <w:rPr>
          <w:rFonts w:ascii="Times New Roman" w:hAnsi="Times New Roman"/>
          <w:iCs/>
          <w:sz w:val="24"/>
          <w:szCs w:val="24"/>
          <w:lang w:val="en-GB"/>
        </w:rPr>
        <w:t xml:space="preserve"> It is uncertain whether the style of legal reasoning has any connection whatsoever with the content of the decision – a point against which legal realists would be willing to argue – but the promoters of the language of fundamental rights mainly recommended it for its alleged ability to foster the legitimacy of the legal system (and of the Court)</w:t>
      </w:r>
      <w:r>
        <w:rPr>
          <w:rFonts w:ascii="Times New Roman" w:hAnsi="Times New Roman"/>
          <w:iCs/>
          <w:sz w:val="24"/>
          <w:szCs w:val="24"/>
          <w:lang w:val="en-GB"/>
        </w:rPr>
        <w:t>.</w:t>
      </w:r>
      <w:r w:rsidRPr="00813E2C">
        <w:rPr>
          <w:rFonts w:ascii="Times New Roman" w:hAnsi="Times New Roman"/>
          <w:iCs/>
          <w:sz w:val="24"/>
          <w:szCs w:val="24"/>
          <w:vertAlign w:val="superscript"/>
          <w:lang w:val="en-GB"/>
        </w:rPr>
        <w:footnoteReference w:id="180"/>
      </w:r>
      <w:r w:rsidRPr="00813E2C">
        <w:rPr>
          <w:rFonts w:ascii="Times New Roman" w:hAnsi="Times New Roman"/>
          <w:iCs/>
          <w:sz w:val="24"/>
          <w:szCs w:val="24"/>
          <w:lang w:val="en-GB"/>
        </w:rPr>
        <w:t xml:space="preserve"> The strong idea underlying these proposals is that the content of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’s decisions may sometimes be less important than the communication that precede</w:t>
      </w:r>
      <w:r>
        <w:rPr>
          <w:rFonts w:ascii="Times New Roman" w:hAnsi="Times New Roman"/>
          <w:iCs/>
          <w:sz w:val="24"/>
          <w:szCs w:val="24"/>
          <w:lang w:val="en-GB"/>
        </w:rPr>
        <w:t>s</w:t>
      </w:r>
      <w:r w:rsidRPr="00813E2C">
        <w:rPr>
          <w:rFonts w:ascii="Times New Roman" w:hAnsi="Times New Roman"/>
          <w:iCs/>
          <w:sz w:val="24"/>
          <w:szCs w:val="24"/>
          <w:lang w:val="en-GB"/>
        </w:rPr>
        <w:t xml:space="preserve"> and follow</w:t>
      </w:r>
      <w:r>
        <w:rPr>
          <w:rFonts w:ascii="Times New Roman" w:hAnsi="Times New Roman"/>
          <w:iCs/>
          <w:sz w:val="24"/>
          <w:szCs w:val="24"/>
          <w:lang w:val="en-GB"/>
        </w:rPr>
        <w:t>s</w:t>
      </w:r>
      <w:r w:rsidRPr="00813E2C">
        <w:rPr>
          <w:rFonts w:ascii="Times New Roman" w:hAnsi="Times New Roman"/>
          <w:iCs/>
          <w:sz w:val="24"/>
          <w:szCs w:val="24"/>
          <w:lang w:val="en-GB"/>
        </w:rPr>
        <w:t xml:space="preserve"> those decisions: the legal reasoning and the public discourses that they </w:t>
      </w:r>
      <w:r>
        <w:rPr>
          <w:rFonts w:ascii="Times New Roman" w:hAnsi="Times New Roman"/>
          <w:iCs/>
          <w:sz w:val="24"/>
          <w:szCs w:val="24"/>
          <w:lang w:val="en-GB"/>
        </w:rPr>
        <w:t>promote.</w:t>
      </w:r>
      <w:r w:rsidRPr="00813E2C">
        <w:rPr>
          <w:rFonts w:ascii="Times New Roman" w:hAnsi="Times New Roman"/>
          <w:iCs/>
          <w:sz w:val="24"/>
          <w:szCs w:val="24"/>
          <w:lang w:val="en-GB"/>
        </w:rPr>
        <w:t xml:space="preserve"> </w:t>
      </w:r>
    </w:p>
    <w:p w:rsidR="005E6612" w:rsidRDefault="005E6612" w:rsidP="00B27D8E">
      <w:pPr>
        <w:spacing w:line="240" w:lineRule="auto"/>
        <w:jc w:val="both"/>
        <w:rPr>
          <w:rFonts w:ascii="Times New Roman" w:hAnsi="Times New Roman"/>
          <w:sz w:val="24"/>
          <w:szCs w:val="24"/>
          <w:lang w:val="en-GB"/>
        </w:rPr>
      </w:pPr>
      <w:r w:rsidRPr="00813E2C">
        <w:rPr>
          <w:rFonts w:ascii="Times New Roman" w:hAnsi="Times New Roman"/>
          <w:iCs/>
          <w:sz w:val="24"/>
          <w:szCs w:val="24"/>
          <w:lang w:val="en-GB"/>
        </w:rPr>
        <w:t xml:space="preserve">Especially when litigation revolves around national measures impinging on the principles of free movement,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xml:space="preserve"> has generally resisted such tendencies. Although it is true that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xml:space="preserve"> has accepted that the protection of fundamental rights may occasionally take priority over the market freedoms</w:t>
      </w:r>
      <w:r>
        <w:rPr>
          <w:rFonts w:ascii="Times New Roman" w:hAnsi="Times New Roman"/>
          <w:iCs/>
          <w:sz w:val="24"/>
          <w:szCs w:val="24"/>
          <w:lang w:val="en-GB"/>
        </w:rPr>
        <w:t>,</w:t>
      </w:r>
      <w:r w:rsidRPr="00813E2C">
        <w:rPr>
          <w:rStyle w:val="Rimandonotaapidipagina"/>
          <w:rFonts w:ascii="Times New Roman" w:hAnsi="Times New Roman"/>
          <w:iCs/>
          <w:sz w:val="24"/>
          <w:szCs w:val="24"/>
          <w:lang w:val="en-GB"/>
        </w:rPr>
        <w:footnoteReference w:id="181"/>
      </w:r>
      <w:r w:rsidRPr="00813E2C">
        <w:rPr>
          <w:rFonts w:ascii="Times New Roman" w:hAnsi="Times New Roman"/>
          <w:iCs/>
          <w:sz w:val="24"/>
          <w:szCs w:val="24"/>
          <w:lang w:val="en-GB"/>
        </w:rPr>
        <w:t xml:space="preserve"> its case law on human rights is at least cautious – according to the critics of the Court, it is symbolic, insufficient or merely instrumental</w:t>
      </w:r>
      <w:r>
        <w:rPr>
          <w:rFonts w:ascii="Times New Roman" w:hAnsi="Times New Roman"/>
          <w:iCs/>
          <w:sz w:val="24"/>
          <w:szCs w:val="24"/>
          <w:lang w:val="en-GB"/>
        </w:rPr>
        <w:t>.</w:t>
      </w:r>
      <w:r w:rsidRPr="00813E2C">
        <w:rPr>
          <w:rStyle w:val="Rimandonotaapidipagina"/>
          <w:rFonts w:ascii="Times New Roman" w:hAnsi="Times New Roman"/>
          <w:iCs/>
          <w:sz w:val="24"/>
          <w:szCs w:val="24"/>
          <w:lang w:val="en-GB"/>
        </w:rPr>
        <w:footnoteReference w:id="182"/>
      </w:r>
      <w:r w:rsidRPr="00813E2C">
        <w:rPr>
          <w:rFonts w:ascii="Times New Roman" w:hAnsi="Times New Roman"/>
          <w:iCs/>
          <w:sz w:val="24"/>
          <w:szCs w:val="24"/>
          <w:lang w:val="en-GB"/>
        </w:rPr>
        <w:t xml:space="preserve"> </w:t>
      </w:r>
      <w:r>
        <w:rPr>
          <w:rFonts w:ascii="Times New Roman" w:hAnsi="Times New Roman"/>
          <w:iCs/>
          <w:sz w:val="24"/>
          <w:szCs w:val="24"/>
          <w:lang w:val="en-GB"/>
        </w:rPr>
        <w:t>I</w:t>
      </w:r>
      <w:r w:rsidRPr="00813E2C">
        <w:rPr>
          <w:rFonts w:ascii="Times New Roman" w:hAnsi="Times New Roman"/>
          <w:iCs/>
          <w:sz w:val="24"/>
          <w:szCs w:val="24"/>
          <w:lang w:val="en-GB"/>
        </w:rPr>
        <w:t xml:space="preserve">n terms of number of cases decided by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its role in the field of fundamental rights protection is by far more limited than that of a national constitutional court</w:t>
      </w:r>
      <w:r>
        <w:rPr>
          <w:rFonts w:ascii="Times New Roman" w:hAnsi="Times New Roman"/>
          <w:iCs/>
          <w:sz w:val="24"/>
          <w:szCs w:val="24"/>
          <w:lang w:val="en-GB"/>
        </w:rPr>
        <w:t>.</w:t>
      </w:r>
      <w:r w:rsidRPr="00813E2C">
        <w:rPr>
          <w:rStyle w:val="Rimandonotaapidipagina"/>
          <w:rFonts w:ascii="Times New Roman" w:hAnsi="Times New Roman"/>
          <w:iCs/>
          <w:sz w:val="24"/>
          <w:szCs w:val="24"/>
          <w:lang w:val="en-GB"/>
        </w:rPr>
        <w:footnoteReference w:id="183"/>
      </w:r>
      <w:r w:rsidRPr="00813E2C">
        <w:rPr>
          <w:rFonts w:ascii="Times New Roman" w:hAnsi="Times New Roman"/>
          <w:iCs/>
          <w:sz w:val="24"/>
          <w:szCs w:val="24"/>
          <w:lang w:val="en-GB"/>
        </w:rPr>
        <w:t xml:space="preserve"> </w:t>
      </w:r>
      <w:r>
        <w:rPr>
          <w:rFonts w:ascii="Times New Roman" w:hAnsi="Times New Roman"/>
          <w:iCs/>
          <w:sz w:val="24"/>
          <w:szCs w:val="24"/>
          <w:lang w:val="en-GB"/>
        </w:rPr>
        <w:t xml:space="preserve">Generally speaking, the </w:t>
      </w:r>
      <w:r w:rsidRPr="003D634E">
        <w:rPr>
          <w:rFonts w:ascii="Times New Roman" w:hAnsi="Times New Roman"/>
          <w:sz w:val="24"/>
          <w:szCs w:val="24"/>
          <w:lang w:val="en-GB"/>
        </w:rPr>
        <w:t>Court of Justice</w:t>
      </w:r>
      <w:r w:rsidRPr="00813E2C">
        <w:rPr>
          <w:rFonts w:ascii="Times New Roman" w:hAnsi="Times New Roman"/>
          <w:sz w:val="24"/>
          <w:szCs w:val="24"/>
          <w:lang w:val="en-GB"/>
        </w:rPr>
        <w:t xml:space="preserve"> </w:t>
      </w:r>
      <w:r>
        <w:rPr>
          <w:rFonts w:ascii="Times New Roman" w:hAnsi="Times New Roman"/>
          <w:sz w:val="24"/>
          <w:szCs w:val="24"/>
          <w:lang w:val="en-GB"/>
        </w:rPr>
        <w:t xml:space="preserve">still </w:t>
      </w:r>
      <w:r w:rsidRPr="00813E2C">
        <w:rPr>
          <w:rFonts w:ascii="Times New Roman" w:hAnsi="Times New Roman"/>
          <w:sz w:val="24"/>
          <w:szCs w:val="24"/>
          <w:lang w:val="en-GB"/>
        </w:rPr>
        <w:t>strives to eschew constitutional rhetoric and resist</w:t>
      </w:r>
      <w:r>
        <w:rPr>
          <w:rFonts w:ascii="Times New Roman" w:hAnsi="Times New Roman"/>
          <w:sz w:val="24"/>
          <w:szCs w:val="24"/>
          <w:lang w:val="en-GB"/>
        </w:rPr>
        <w:t>s</w:t>
      </w:r>
      <w:r w:rsidRPr="00813E2C">
        <w:rPr>
          <w:rFonts w:ascii="Times New Roman" w:hAnsi="Times New Roman"/>
          <w:sz w:val="24"/>
          <w:szCs w:val="24"/>
          <w:lang w:val="en-GB"/>
        </w:rPr>
        <w:t xml:space="preserve"> the call to become another fully fledged human rights jurisdiction alongside the constitutional courts of the Member States and the ECtHR</w:t>
      </w:r>
      <w:r>
        <w:rPr>
          <w:rFonts w:ascii="Times New Roman" w:hAnsi="Times New Roman"/>
          <w:sz w:val="24"/>
          <w:szCs w:val="24"/>
          <w:lang w:val="en-GB"/>
        </w:rPr>
        <w:t>.</w:t>
      </w:r>
    </w:p>
    <w:p w:rsidR="005E6612" w:rsidRPr="00813E2C" w:rsidRDefault="005E6612" w:rsidP="00B27D8E">
      <w:pPr>
        <w:spacing w:line="240" w:lineRule="auto"/>
        <w:jc w:val="both"/>
        <w:rPr>
          <w:rFonts w:ascii="Times New Roman" w:hAnsi="Times New Roman"/>
          <w:iCs/>
          <w:sz w:val="24"/>
          <w:szCs w:val="24"/>
          <w:lang w:val="en-GB"/>
        </w:rPr>
      </w:pPr>
      <w:r>
        <w:rPr>
          <w:rFonts w:ascii="Times New Roman" w:hAnsi="Times New Roman"/>
          <w:sz w:val="24"/>
          <w:szCs w:val="24"/>
          <w:lang w:val="en-GB"/>
        </w:rPr>
        <w:t xml:space="preserve">6. </w:t>
      </w:r>
      <w:r w:rsidRPr="00C13DBE">
        <w:rPr>
          <w:rFonts w:ascii="Times New Roman" w:hAnsi="Times New Roman"/>
          <w:i/>
          <w:sz w:val="24"/>
          <w:szCs w:val="24"/>
          <w:lang w:val="en-GB"/>
        </w:rPr>
        <w:t>Conclusion</w:t>
      </w:r>
      <w:r>
        <w:rPr>
          <w:rFonts w:ascii="Times New Roman" w:hAnsi="Times New Roman"/>
          <w:i/>
          <w:sz w:val="24"/>
          <w:szCs w:val="24"/>
          <w:lang w:val="en-GB"/>
        </w:rPr>
        <w:t>s</w:t>
      </w:r>
    </w:p>
    <w:p w:rsidR="005E6612" w:rsidRDefault="005E6612" w:rsidP="00B27D8E">
      <w:pPr>
        <w:spacing w:line="240" w:lineRule="auto"/>
        <w:jc w:val="both"/>
        <w:rPr>
          <w:rFonts w:ascii="Times New Roman" w:hAnsi="Times New Roman"/>
          <w:sz w:val="24"/>
          <w:szCs w:val="24"/>
          <w:lang w:val="en-GB"/>
        </w:rPr>
      </w:pPr>
      <w:r>
        <w:rPr>
          <w:rFonts w:ascii="Times New Roman" w:hAnsi="Times New Roman"/>
          <w:iCs/>
          <w:sz w:val="24"/>
          <w:szCs w:val="24"/>
          <w:lang w:val="en-GB"/>
        </w:rPr>
        <w:t>According to the reading here proposed, t</w:t>
      </w:r>
      <w:r w:rsidRPr="00813E2C">
        <w:rPr>
          <w:rFonts w:ascii="Times New Roman" w:hAnsi="Times New Roman"/>
          <w:iCs/>
          <w:sz w:val="24"/>
          <w:szCs w:val="24"/>
          <w:lang w:val="en-GB"/>
        </w:rPr>
        <w:t xml:space="preserve">his modest and, so to say, “unconstitutional” approach or style of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xml:space="preserve"> </w:t>
      </w:r>
      <w:r>
        <w:rPr>
          <w:rFonts w:ascii="Times New Roman" w:hAnsi="Times New Roman"/>
          <w:iCs/>
          <w:sz w:val="24"/>
          <w:szCs w:val="24"/>
          <w:lang w:val="en-GB"/>
        </w:rPr>
        <w:t xml:space="preserve">depends not only on the history of the Court – the declining influence of the French model – and its institutional features – the subject matter of the judgments, their collegiate nature and the need to preserve the independency of the Court – but also on a structural feature of this </w:t>
      </w:r>
      <w:r w:rsidRPr="003F7608">
        <w:rPr>
          <w:rFonts w:ascii="Times New Roman" w:hAnsi="Times New Roman"/>
          <w:i/>
          <w:iCs/>
          <w:sz w:val="24"/>
          <w:szCs w:val="24"/>
          <w:lang w:val="en-GB"/>
        </w:rPr>
        <w:t>sui generis</w:t>
      </w:r>
      <w:r>
        <w:rPr>
          <w:rFonts w:ascii="Times New Roman" w:hAnsi="Times New Roman"/>
          <w:iCs/>
          <w:sz w:val="24"/>
          <w:szCs w:val="24"/>
          <w:lang w:val="en-GB"/>
        </w:rPr>
        <w:t xml:space="preserve"> jurisdiction, that is, its “less-then-constitutional” standing </w:t>
      </w:r>
      <w:r w:rsidRPr="002D527F">
        <w:rPr>
          <w:rFonts w:ascii="Times New Roman" w:hAnsi="Times New Roman"/>
          <w:i/>
          <w:iCs/>
          <w:sz w:val="24"/>
          <w:szCs w:val="24"/>
          <w:lang w:val="en-GB"/>
        </w:rPr>
        <w:t>vis-à-vis</w:t>
      </w:r>
      <w:r>
        <w:rPr>
          <w:rFonts w:ascii="Times New Roman" w:hAnsi="Times New Roman"/>
          <w:i/>
          <w:iCs/>
          <w:sz w:val="24"/>
          <w:szCs w:val="24"/>
          <w:lang w:val="en-GB"/>
        </w:rPr>
        <w:t xml:space="preserve"> </w:t>
      </w:r>
      <w:r>
        <w:rPr>
          <w:rFonts w:ascii="Times New Roman" w:hAnsi="Times New Roman"/>
          <w:iCs/>
          <w:sz w:val="24"/>
          <w:szCs w:val="24"/>
          <w:lang w:val="en-GB"/>
        </w:rPr>
        <w:t xml:space="preserve">the national courts – what we have called the </w:t>
      </w:r>
      <w:r w:rsidRPr="00813E2C">
        <w:rPr>
          <w:rFonts w:ascii="Times New Roman" w:hAnsi="Times New Roman"/>
          <w:i/>
          <w:sz w:val="24"/>
          <w:szCs w:val="24"/>
          <w:lang w:val="en-GB"/>
        </w:rPr>
        <w:t>sensu lato</w:t>
      </w:r>
      <w:r>
        <w:rPr>
          <w:rFonts w:ascii="Times New Roman" w:hAnsi="Times New Roman"/>
          <w:i/>
          <w:sz w:val="24"/>
          <w:szCs w:val="24"/>
          <w:lang w:val="en-GB"/>
        </w:rPr>
        <w:t xml:space="preserve"> </w:t>
      </w:r>
      <w:r>
        <w:rPr>
          <w:rFonts w:ascii="Times New Roman" w:hAnsi="Times New Roman"/>
          <w:iCs/>
          <w:sz w:val="24"/>
          <w:szCs w:val="24"/>
          <w:lang w:val="en-GB"/>
        </w:rPr>
        <w:t>constitutional nature of the Court. As t</w:t>
      </w:r>
      <w:r w:rsidRPr="00813E2C">
        <w:rPr>
          <w:rFonts w:ascii="Times New Roman" w:hAnsi="Times New Roman"/>
          <w:sz w:val="24"/>
          <w:szCs w:val="24"/>
          <w:lang w:val="en-GB"/>
        </w:rPr>
        <w:t xml:space="preserve">he authority of the Court </w:t>
      </w:r>
      <w:r>
        <w:rPr>
          <w:rFonts w:ascii="Times New Roman" w:hAnsi="Times New Roman"/>
          <w:sz w:val="24"/>
          <w:szCs w:val="24"/>
          <w:lang w:val="en-GB"/>
        </w:rPr>
        <w:t xml:space="preserve">is a matter of dialogue and negotiation with the national courts, the Court may avoid a fully fledged constitutional rhetoric in order not to offend their constitutional identities and escape the rush for the monopoly of constitutional adjudication in the European legal space. </w:t>
      </w:r>
    </w:p>
    <w:p w:rsidR="005E6612" w:rsidRPr="00813E2C" w:rsidRDefault="005E6612" w:rsidP="00B27D8E">
      <w:pPr>
        <w:spacing w:line="240" w:lineRule="auto"/>
        <w:jc w:val="both"/>
        <w:rPr>
          <w:rFonts w:ascii="Times New Roman" w:hAnsi="Times New Roman"/>
          <w:iCs/>
          <w:sz w:val="24"/>
          <w:szCs w:val="24"/>
          <w:lang w:val="en-GB"/>
        </w:rPr>
      </w:pPr>
      <w:r>
        <w:rPr>
          <w:rFonts w:ascii="Times New Roman" w:hAnsi="Times New Roman"/>
          <w:iCs/>
          <w:sz w:val="24"/>
          <w:szCs w:val="24"/>
          <w:lang w:val="en-GB"/>
        </w:rPr>
        <w:t xml:space="preserve">Things </w:t>
      </w:r>
      <w:r w:rsidRPr="00813E2C">
        <w:rPr>
          <w:rFonts w:ascii="Times New Roman" w:hAnsi="Times New Roman"/>
          <w:iCs/>
          <w:sz w:val="24"/>
          <w:szCs w:val="24"/>
          <w:lang w:val="en-GB"/>
        </w:rPr>
        <w:t>might change, of course, and in many respects ha</w:t>
      </w:r>
      <w:r>
        <w:rPr>
          <w:rFonts w:ascii="Times New Roman" w:hAnsi="Times New Roman"/>
          <w:iCs/>
          <w:sz w:val="24"/>
          <w:szCs w:val="24"/>
          <w:lang w:val="en-GB"/>
        </w:rPr>
        <w:t>ve</w:t>
      </w:r>
      <w:r w:rsidRPr="00813E2C">
        <w:rPr>
          <w:rFonts w:ascii="Times New Roman" w:hAnsi="Times New Roman"/>
          <w:iCs/>
          <w:sz w:val="24"/>
          <w:szCs w:val="24"/>
          <w:lang w:val="en-GB"/>
        </w:rPr>
        <w:t xml:space="preserve"> already</w:t>
      </w:r>
      <w:r>
        <w:rPr>
          <w:rFonts w:ascii="Times New Roman" w:hAnsi="Times New Roman"/>
          <w:iCs/>
          <w:sz w:val="24"/>
          <w:szCs w:val="24"/>
          <w:lang w:val="en-GB"/>
        </w:rPr>
        <w:t>.</w:t>
      </w:r>
      <w:r w:rsidRPr="00813E2C">
        <w:rPr>
          <w:rFonts w:ascii="Times New Roman" w:hAnsi="Times New Roman"/>
          <w:iCs/>
          <w:sz w:val="24"/>
          <w:szCs w:val="24"/>
          <w:vertAlign w:val="superscript"/>
          <w:lang w:val="en-GB"/>
        </w:rPr>
        <w:footnoteReference w:id="184"/>
      </w:r>
      <w:r w:rsidRPr="00813E2C">
        <w:rPr>
          <w:rFonts w:ascii="Times New Roman" w:hAnsi="Times New Roman"/>
          <w:iCs/>
          <w:sz w:val="24"/>
          <w:szCs w:val="24"/>
          <w:lang w:val="en-GB"/>
        </w:rPr>
        <w:t xml:space="preserve"> The </w:t>
      </w:r>
      <w:r w:rsidRPr="00813E2C">
        <w:rPr>
          <w:rFonts w:ascii="Times New Roman" w:hAnsi="Times New Roman"/>
          <w:i/>
          <w:sz w:val="24"/>
          <w:szCs w:val="24"/>
          <w:lang w:val="en-GB"/>
        </w:rPr>
        <w:t>Kadi</w:t>
      </w:r>
      <w:r w:rsidRPr="00813E2C">
        <w:rPr>
          <w:rFonts w:ascii="Times New Roman" w:hAnsi="Times New Roman"/>
          <w:iCs/>
          <w:sz w:val="24"/>
          <w:szCs w:val="24"/>
          <w:lang w:val="en-GB"/>
        </w:rPr>
        <w:t xml:space="preserve"> case </w:t>
      </w:r>
      <w:r>
        <w:rPr>
          <w:rFonts w:ascii="Times New Roman" w:hAnsi="Times New Roman"/>
          <w:iCs/>
          <w:sz w:val="24"/>
          <w:szCs w:val="24"/>
          <w:lang w:val="en-GB"/>
        </w:rPr>
        <w:t xml:space="preserve">(2008) </w:t>
      </w:r>
      <w:r w:rsidRPr="00813E2C">
        <w:rPr>
          <w:rFonts w:ascii="Times New Roman" w:hAnsi="Times New Roman"/>
          <w:iCs/>
          <w:sz w:val="24"/>
          <w:szCs w:val="24"/>
          <w:lang w:val="en-GB"/>
        </w:rPr>
        <w:t>provides a major example of the new tendency</w:t>
      </w:r>
      <w:r>
        <w:rPr>
          <w:rFonts w:ascii="Times New Roman" w:hAnsi="Times New Roman"/>
          <w:iCs/>
          <w:sz w:val="24"/>
          <w:szCs w:val="24"/>
          <w:lang w:val="en-GB"/>
        </w:rPr>
        <w:t xml:space="preserve">, and also </w:t>
      </w:r>
      <w:r w:rsidRPr="00F52D4D">
        <w:rPr>
          <w:rFonts w:ascii="Times New Roman" w:hAnsi="Times New Roman"/>
          <w:i/>
          <w:iCs/>
          <w:sz w:val="24"/>
          <w:szCs w:val="24"/>
          <w:lang w:val="en-GB"/>
        </w:rPr>
        <w:t>Les Verts</w:t>
      </w:r>
      <w:r>
        <w:rPr>
          <w:rFonts w:ascii="Times New Roman" w:hAnsi="Times New Roman"/>
          <w:iCs/>
          <w:sz w:val="24"/>
          <w:szCs w:val="24"/>
          <w:lang w:val="en-GB"/>
        </w:rPr>
        <w:t xml:space="preserve"> (1986) and </w:t>
      </w:r>
      <w:r w:rsidRPr="00813E2C">
        <w:rPr>
          <w:rFonts w:ascii="Times New Roman" w:hAnsi="Times New Roman"/>
          <w:iCs/>
          <w:sz w:val="24"/>
          <w:szCs w:val="24"/>
          <w:lang w:val="en-GB"/>
        </w:rPr>
        <w:t>the Opinion 1/91 can be mentioned as case</w:t>
      </w:r>
      <w:r>
        <w:rPr>
          <w:rFonts w:ascii="Times New Roman" w:hAnsi="Times New Roman"/>
          <w:iCs/>
          <w:sz w:val="24"/>
          <w:szCs w:val="24"/>
          <w:lang w:val="en-GB"/>
        </w:rPr>
        <w:t>s</w:t>
      </w:r>
      <w:r w:rsidRPr="00813E2C">
        <w:rPr>
          <w:rFonts w:ascii="Times New Roman" w:hAnsi="Times New Roman"/>
          <w:iCs/>
          <w:sz w:val="24"/>
          <w:szCs w:val="24"/>
          <w:lang w:val="en-GB"/>
        </w:rPr>
        <w:t xml:space="preserve"> of </w:t>
      </w:r>
      <w:r>
        <w:rPr>
          <w:rFonts w:ascii="Times New Roman" w:hAnsi="Times New Roman"/>
          <w:iCs/>
          <w:sz w:val="24"/>
          <w:szCs w:val="24"/>
          <w:lang w:val="en-GB"/>
        </w:rPr>
        <w:t xml:space="preserve">self-conscious </w:t>
      </w:r>
      <w:r w:rsidRPr="00813E2C">
        <w:rPr>
          <w:rFonts w:ascii="Times New Roman" w:hAnsi="Times New Roman"/>
          <w:iCs/>
          <w:sz w:val="24"/>
          <w:szCs w:val="24"/>
          <w:lang w:val="en-GB"/>
        </w:rPr>
        <w:t xml:space="preserve">constitutional language </w:t>
      </w:r>
      <w:r>
        <w:rPr>
          <w:rFonts w:ascii="Times New Roman" w:hAnsi="Times New Roman"/>
          <w:iCs/>
          <w:sz w:val="24"/>
          <w:szCs w:val="24"/>
          <w:lang w:val="en-GB"/>
        </w:rPr>
        <w:t>i</w:t>
      </w:r>
      <w:r w:rsidRPr="00813E2C">
        <w:rPr>
          <w:rFonts w:ascii="Times New Roman" w:hAnsi="Times New Roman"/>
          <w:iCs/>
          <w:sz w:val="24"/>
          <w:szCs w:val="24"/>
          <w:lang w:val="en-GB"/>
        </w:rPr>
        <w:t xml:space="preserve">n the area of institutional organisation. </w:t>
      </w:r>
      <w:r>
        <w:rPr>
          <w:rFonts w:ascii="Times New Roman" w:hAnsi="Times New Roman"/>
          <w:iCs/>
          <w:sz w:val="24"/>
          <w:szCs w:val="24"/>
          <w:lang w:val="en-GB"/>
        </w:rPr>
        <w:t>T</w:t>
      </w:r>
      <w:r w:rsidRPr="00813E2C">
        <w:rPr>
          <w:rFonts w:ascii="Times New Roman" w:hAnsi="Times New Roman"/>
          <w:iCs/>
          <w:sz w:val="24"/>
          <w:szCs w:val="24"/>
          <w:lang w:val="en-GB"/>
        </w:rPr>
        <w:t xml:space="preserve">he terse and laconic style of the first </w:t>
      </w:r>
      <w:r>
        <w:rPr>
          <w:rFonts w:ascii="Times New Roman" w:hAnsi="Times New Roman"/>
          <w:iCs/>
          <w:sz w:val="24"/>
          <w:szCs w:val="24"/>
          <w:lang w:val="en-GB"/>
        </w:rPr>
        <w:t>judgme</w:t>
      </w:r>
      <w:r w:rsidRPr="00813E2C">
        <w:rPr>
          <w:rFonts w:ascii="Times New Roman" w:hAnsi="Times New Roman"/>
          <w:iCs/>
          <w:sz w:val="24"/>
          <w:szCs w:val="24"/>
          <w:lang w:val="en-GB"/>
        </w:rPr>
        <w:t>nt</w:t>
      </w:r>
      <w:r>
        <w:rPr>
          <w:rFonts w:ascii="Times New Roman" w:hAnsi="Times New Roman"/>
          <w:iCs/>
          <w:sz w:val="24"/>
          <w:szCs w:val="24"/>
          <w:lang w:val="en-GB"/>
        </w:rPr>
        <w:t>s</w:t>
      </w:r>
      <w:r w:rsidRPr="00813E2C">
        <w:rPr>
          <w:rFonts w:ascii="Times New Roman" w:hAnsi="Times New Roman"/>
          <w:iCs/>
          <w:sz w:val="24"/>
          <w:szCs w:val="24"/>
          <w:lang w:val="en-GB"/>
        </w:rPr>
        <w:t xml:space="preserve"> of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xml:space="preserve"> has largely been abandoned and since the 1980s </w:t>
      </w:r>
      <w:r>
        <w:rPr>
          <w:rFonts w:ascii="Times New Roman" w:hAnsi="Times New Roman"/>
          <w:iCs/>
          <w:sz w:val="24"/>
          <w:szCs w:val="24"/>
          <w:lang w:val="en-GB"/>
        </w:rPr>
        <w:t>the judgme</w:t>
      </w:r>
      <w:r w:rsidRPr="00813E2C">
        <w:rPr>
          <w:rFonts w:ascii="Times New Roman" w:hAnsi="Times New Roman"/>
          <w:iCs/>
          <w:sz w:val="24"/>
          <w:szCs w:val="24"/>
          <w:lang w:val="en-GB"/>
        </w:rPr>
        <w:t>nts have be</w:t>
      </w:r>
      <w:r>
        <w:rPr>
          <w:rFonts w:ascii="Times New Roman" w:hAnsi="Times New Roman"/>
          <w:iCs/>
          <w:sz w:val="24"/>
          <w:szCs w:val="24"/>
          <w:lang w:val="en-GB"/>
        </w:rPr>
        <w:t>come considerably longer. Today</w:t>
      </w:r>
      <w:r w:rsidRPr="00813E2C">
        <w:rPr>
          <w:rFonts w:ascii="Times New Roman" w:hAnsi="Times New Roman"/>
          <w:iCs/>
          <w:sz w:val="24"/>
          <w:szCs w:val="24"/>
          <w:lang w:val="en-GB"/>
        </w:rPr>
        <w:t xml:space="preserve"> nobody would argue that they stick strictly to the French model of administrative jurisdiction. The adoption of the Charter of Fundamental Rights and the move of the EU into policy areas like police and judicial co-operation in criminal matters are likely to strongly affect the legal reasoning of the </w:t>
      </w:r>
      <w:r w:rsidRPr="003D634E">
        <w:rPr>
          <w:rFonts w:ascii="Times New Roman" w:hAnsi="Times New Roman"/>
          <w:iCs/>
          <w:sz w:val="24"/>
          <w:szCs w:val="24"/>
          <w:lang w:val="en-GB"/>
        </w:rPr>
        <w:t>Court of Justice</w:t>
      </w:r>
      <w:r w:rsidRPr="00813E2C">
        <w:rPr>
          <w:rFonts w:ascii="Times New Roman" w:hAnsi="Times New Roman"/>
          <w:iCs/>
          <w:sz w:val="24"/>
          <w:szCs w:val="24"/>
          <w:lang w:val="en-GB"/>
        </w:rPr>
        <w:t xml:space="preserve">. The Court will have to address fundamental rights issues more openly. </w:t>
      </w:r>
    </w:p>
    <w:p w:rsidR="005E6612" w:rsidRPr="00C13CDF" w:rsidRDefault="005E6612" w:rsidP="00B27D8E">
      <w:pPr>
        <w:spacing w:line="240" w:lineRule="auto"/>
        <w:jc w:val="both"/>
        <w:rPr>
          <w:lang w:val="en-GB"/>
        </w:rPr>
      </w:pPr>
      <w:r>
        <w:rPr>
          <w:rFonts w:ascii="Times New Roman" w:hAnsi="Times New Roman"/>
          <w:iCs/>
          <w:sz w:val="24"/>
          <w:szCs w:val="24"/>
          <w:lang w:val="en-GB"/>
        </w:rPr>
        <w:t>For the time being</w:t>
      </w:r>
      <w:r w:rsidRPr="00813E2C">
        <w:rPr>
          <w:rFonts w:ascii="Times New Roman" w:hAnsi="Times New Roman"/>
          <w:iCs/>
          <w:sz w:val="24"/>
          <w:szCs w:val="24"/>
          <w:lang w:val="en-GB"/>
        </w:rPr>
        <w:t xml:space="preserve">, however, the Court has continued to avoid, as far as possible, the language of fundamental rights and constitutional principles: it speaks “strict legalese” and stays away from political rhetoric and vibrant moral calls. Its </w:t>
      </w:r>
      <w:r>
        <w:rPr>
          <w:rFonts w:ascii="Times New Roman" w:hAnsi="Times New Roman"/>
          <w:iCs/>
          <w:sz w:val="24"/>
          <w:szCs w:val="24"/>
          <w:lang w:val="en-GB"/>
        </w:rPr>
        <w:t>judgme</w:t>
      </w:r>
      <w:r w:rsidRPr="00813E2C">
        <w:rPr>
          <w:rFonts w:ascii="Times New Roman" w:hAnsi="Times New Roman"/>
          <w:iCs/>
          <w:sz w:val="24"/>
          <w:szCs w:val="24"/>
          <w:lang w:val="en-GB"/>
        </w:rPr>
        <w:t xml:space="preserve">nts seem to strive for </w:t>
      </w:r>
      <w:r w:rsidRPr="00132C67">
        <w:rPr>
          <w:rFonts w:ascii="Times New Roman" w:hAnsi="Times New Roman"/>
          <w:iCs/>
          <w:sz w:val="24"/>
          <w:szCs w:val="24"/>
          <w:lang w:val="en-GB"/>
        </w:rPr>
        <w:t>“a simple and direct style”</w:t>
      </w:r>
      <w:r>
        <w:rPr>
          <w:rFonts w:ascii="Times New Roman" w:hAnsi="Times New Roman"/>
          <w:iCs/>
          <w:sz w:val="24"/>
          <w:szCs w:val="24"/>
          <w:lang w:val="en-GB"/>
        </w:rPr>
        <w:t>,</w:t>
      </w:r>
      <w:r w:rsidRPr="00813E2C">
        <w:rPr>
          <w:rFonts w:ascii="Times New Roman" w:hAnsi="Times New Roman"/>
          <w:iCs/>
          <w:sz w:val="24"/>
          <w:szCs w:val="24"/>
          <w:vertAlign w:val="superscript"/>
          <w:lang w:val="en-GB"/>
        </w:rPr>
        <w:footnoteReference w:id="185"/>
      </w:r>
      <w:r>
        <w:rPr>
          <w:rFonts w:ascii="Times New Roman" w:hAnsi="Times New Roman"/>
          <w:iCs/>
          <w:sz w:val="24"/>
          <w:szCs w:val="24"/>
          <w:lang w:val="en-GB"/>
        </w:rPr>
        <w:t xml:space="preserve"> </w:t>
      </w:r>
      <w:r w:rsidRPr="00813E2C">
        <w:rPr>
          <w:rFonts w:ascii="Times New Roman" w:hAnsi="Times New Roman"/>
          <w:iCs/>
          <w:sz w:val="24"/>
          <w:szCs w:val="24"/>
          <w:lang w:val="en-GB"/>
        </w:rPr>
        <w:t xml:space="preserve">not for brightness and depth, and they run the risk of being dry and boring, not </w:t>
      </w:r>
      <w:r w:rsidRPr="00132C67">
        <w:rPr>
          <w:rFonts w:ascii="Times New Roman" w:hAnsi="Times New Roman"/>
          <w:iCs/>
          <w:sz w:val="24"/>
          <w:szCs w:val="24"/>
          <w:lang w:val="en-GB"/>
        </w:rPr>
        <w:t>emphatic and pompous</w:t>
      </w:r>
      <w:r w:rsidRPr="00813E2C">
        <w:rPr>
          <w:rFonts w:ascii="Times New Roman" w:hAnsi="Times New Roman"/>
          <w:iCs/>
          <w:sz w:val="24"/>
          <w:szCs w:val="24"/>
          <w:lang w:val="en-GB"/>
        </w:rPr>
        <w:t>.</w:t>
      </w:r>
    </w:p>
    <w:p w:rsidR="005E6612" w:rsidRPr="00B27D8E" w:rsidRDefault="005E6612">
      <w:pPr>
        <w:rPr>
          <w:lang w:val="en-GB"/>
        </w:rPr>
      </w:pPr>
    </w:p>
    <w:sectPr w:rsidR="005E6612" w:rsidRPr="00B27D8E" w:rsidSect="00770BD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C4" w:rsidRDefault="005067C4" w:rsidP="00B27D8E">
      <w:pPr>
        <w:spacing w:after="0" w:line="240" w:lineRule="auto"/>
      </w:pPr>
      <w:r>
        <w:separator/>
      </w:r>
    </w:p>
  </w:endnote>
  <w:endnote w:type="continuationSeparator" w:id="0">
    <w:p w:rsidR="005067C4" w:rsidRDefault="005067C4" w:rsidP="00B27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C4" w:rsidRDefault="005067C4" w:rsidP="00B27D8E">
      <w:pPr>
        <w:spacing w:after="0" w:line="240" w:lineRule="auto"/>
      </w:pPr>
      <w:r>
        <w:separator/>
      </w:r>
    </w:p>
  </w:footnote>
  <w:footnote w:type="continuationSeparator" w:id="0">
    <w:p w:rsidR="005067C4" w:rsidRDefault="005067C4" w:rsidP="00B27D8E">
      <w:pPr>
        <w:spacing w:after="0" w:line="240" w:lineRule="auto"/>
      </w:pPr>
      <w:r>
        <w:continuationSeparator/>
      </w:r>
    </w:p>
  </w:footnote>
  <w:footnote w:id="1">
    <w:p w:rsidR="005E6612" w:rsidRDefault="005E6612" w:rsidP="00B27D8E">
      <w:pPr>
        <w:pStyle w:val="Testonotaapidipagina"/>
        <w:jc w:val="both"/>
        <w:rPr>
          <w:rFonts w:ascii="Times New Roman" w:hAnsi="Times New Roman"/>
          <w:lang w:val="en-GB"/>
        </w:rPr>
      </w:pPr>
      <w:r>
        <w:rPr>
          <w:rFonts w:ascii="Times New Roman" w:hAnsi="Times New Roman"/>
          <w:lang w:val="en-GB"/>
        </w:rPr>
        <w:t xml:space="preserve">* </w:t>
      </w:r>
      <w:r w:rsidRPr="00D73610">
        <w:rPr>
          <w:rFonts w:ascii="Times New Roman" w:hAnsi="Times New Roman"/>
          <w:lang w:val="en-GB"/>
        </w:rPr>
        <w:t xml:space="preserve">Researcher in Philosophy of Law, University of </w:t>
      </w:r>
      <w:smartTag w:uri="urn:schemas-microsoft-com:office:smarttags" w:element="City">
        <w:smartTag w:uri="urn:schemas-microsoft-com:office:smarttags" w:element="place">
          <w:r w:rsidRPr="00D73610">
            <w:rPr>
              <w:rFonts w:ascii="Times New Roman" w:hAnsi="Times New Roman"/>
              <w:lang w:val="en-GB"/>
            </w:rPr>
            <w:t>Brescia</w:t>
          </w:r>
        </w:smartTag>
      </w:smartTag>
      <w:r w:rsidRPr="00D73610">
        <w:rPr>
          <w:rFonts w:ascii="Times New Roman" w:hAnsi="Times New Roman"/>
          <w:lang w:val="en-GB"/>
        </w:rPr>
        <w:t>. Comments are welcomed:</w:t>
      </w:r>
      <w:r>
        <w:rPr>
          <w:rFonts w:ascii="Times New Roman" w:hAnsi="Times New Roman"/>
          <w:lang w:val="en-GB"/>
        </w:rPr>
        <w:t xml:space="preserve"> giulio.itzcovichi@unibs.it</w:t>
      </w:r>
      <w:r w:rsidRPr="00D73610">
        <w:rPr>
          <w:rFonts w:ascii="Times New Roman" w:hAnsi="Times New Roman"/>
          <w:lang w:val="en-GB"/>
        </w:rPr>
        <w:t xml:space="preserve">. The decisions that are </w:t>
      </w:r>
      <w:r>
        <w:rPr>
          <w:rFonts w:ascii="Times New Roman" w:hAnsi="Times New Roman"/>
          <w:lang w:val="en-GB"/>
        </w:rPr>
        <w:t>included in</w:t>
      </w:r>
      <w:r w:rsidRPr="00D73610">
        <w:rPr>
          <w:rFonts w:ascii="Times New Roman" w:hAnsi="Times New Roman"/>
          <w:lang w:val="en-GB"/>
        </w:rPr>
        <w:t xml:space="preserve"> the sample of 40 </w:t>
      </w:r>
      <w:r>
        <w:rPr>
          <w:rFonts w:ascii="Times New Roman" w:hAnsi="Times New Roman"/>
          <w:lang w:val="en-GB"/>
        </w:rPr>
        <w:t xml:space="preserve">leading cases </w:t>
      </w:r>
      <w:r w:rsidRPr="00D73610">
        <w:rPr>
          <w:rFonts w:ascii="Times New Roman" w:hAnsi="Times New Roman"/>
          <w:lang w:val="en-GB"/>
        </w:rPr>
        <w:t>analysed by the research (</w:t>
      </w:r>
      <w:r>
        <w:rPr>
          <w:rFonts w:ascii="Times New Roman" w:hAnsi="Times New Roman"/>
          <w:lang w:val="en-GB"/>
        </w:rPr>
        <w:t>hereby ‘</w:t>
      </w:r>
      <w:r w:rsidRPr="00D73610">
        <w:rPr>
          <w:rFonts w:ascii="Times New Roman" w:hAnsi="Times New Roman"/>
          <w:lang w:val="en-GB"/>
        </w:rPr>
        <w:t>the Sample</w:t>
      </w:r>
      <w:r>
        <w:rPr>
          <w:rFonts w:ascii="Times New Roman" w:hAnsi="Times New Roman"/>
          <w:lang w:val="en-GB"/>
        </w:rPr>
        <w:t>’</w:t>
      </w:r>
      <w:r w:rsidRPr="00D73610">
        <w:rPr>
          <w:rFonts w:ascii="Times New Roman" w:hAnsi="Times New Roman"/>
          <w:lang w:val="en-GB"/>
        </w:rPr>
        <w:t>) w</w:t>
      </w:r>
      <w:r>
        <w:rPr>
          <w:rFonts w:ascii="Times New Roman" w:hAnsi="Times New Roman"/>
          <w:lang w:val="en-GB"/>
        </w:rPr>
        <w:t xml:space="preserve">ill be quoted in shortened form; </w:t>
      </w:r>
      <w:r w:rsidRPr="00D73610">
        <w:rPr>
          <w:rFonts w:ascii="Times New Roman" w:hAnsi="Times New Roman"/>
          <w:lang w:val="en-GB"/>
        </w:rPr>
        <w:t>the decisions that are not included in the Sample will be quoted in the usual complete form</w:t>
      </w:r>
    </w:p>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See e.g. </w:t>
      </w:r>
      <w:r w:rsidRPr="00D73610">
        <w:rPr>
          <w:rFonts w:ascii="Times New Roman" w:hAnsi="Times New Roman"/>
          <w:iCs/>
          <w:lang w:val="en-GB"/>
        </w:rPr>
        <w:t xml:space="preserve">L. Azoulai, </w:t>
      </w:r>
      <w:r>
        <w:rPr>
          <w:rFonts w:ascii="Times New Roman" w:hAnsi="Times New Roman"/>
          <w:iCs/>
          <w:lang w:val="en-GB"/>
        </w:rPr>
        <w:t>‘</w:t>
      </w:r>
      <w:r w:rsidRPr="00D73610">
        <w:rPr>
          <w:rFonts w:ascii="Times New Roman" w:hAnsi="Times New Roman"/>
          <w:lang w:val="en-GB"/>
        </w:rPr>
        <w:t xml:space="preserve">Le rôle constitutionnel de </w:t>
      </w:r>
      <w:smartTag w:uri="urn:schemas-microsoft-com:office:smarttags" w:element="PersonName">
        <w:smartTagPr>
          <w:attr w:name="ProductID" w:val="la Cour"/>
        </w:smartTagPr>
        <w:r w:rsidRPr="00D73610">
          <w:rPr>
            <w:rFonts w:ascii="Times New Roman" w:hAnsi="Times New Roman"/>
            <w:lang w:val="en-GB"/>
          </w:rPr>
          <w:t>la Cour</w:t>
        </w:r>
      </w:smartTag>
      <w:r w:rsidRPr="00D73610">
        <w:rPr>
          <w:rFonts w:ascii="Times New Roman" w:hAnsi="Times New Roman"/>
          <w:lang w:val="en-GB"/>
        </w:rPr>
        <w:t xml:space="preserve"> de Justice des Communautés européennes tel qu</w:t>
      </w:r>
      <w:r>
        <w:rPr>
          <w:rFonts w:ascii="Times New Roman" w:hAnsi="Times New Roman"/>
          <w:lang w:val="en-GB"/>
        </w:rPr>
        <w:t>’</w:t>
      </w:r>
      <w:r w:rsidRPr="00D73610">
        <w:rPr>
          <w:rFonts w:ascii="Times New Roman" w:hAnsi="Times New Roman"/>
          <w:lang w:val="en-GB"/>
        </w:rPr>
        <w:t>il se dégage de sa jurisprudence</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lang w:val="en-GB"/>
        </w:rPr>
        <w:t>Revue trimestrielle de droit européen</w:t>
      </w:r>
      <w:r>
        <w:rPr>
          <w:rFonts w:ascii="Times New Roman" w:hAnsi="Times New Roman"/>
          <w:lang w:val="en-GB"/>
        </w:rPr>
        <w:t>, 44/1 (</w:t>
      </w:r>
      <w:r w:rsidRPr="00D73610">
        <w:rPr>
          <w:rFonts w:ascii="Times New Roman" w:hAnsi="Times New Roman"/>
          <w:lang w:val="en-GB"/>
        </w:rPr>
        <w:t>2008</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bCs/>
          <w:lang w:val="en-GB"/>
        </w:rPr>
        <w:t>29</w:t>
      </w:r>
      <w:r w:rsidRPr="00D73610">
        <w:rPr>
          <w:rFonts w:ascii="Times New Roman" w:hAnsi="Times New Roman"/>
          <w:lang w:val="en-GB"/>
        </w:rPr>
        <w:t>–</w:t>
      </w:r>
      <w:r w:rsidRPr="00D73610">
        <w:rPr>
          <w:rFonts w:ascii="Times New Roman" w:hAnsi="Times New Roman"/>
          <w:bCs/>
          <w:lang w:val="en-GB"/>
        </w:rPr>
        <w:t xml:space="preserve">46; </w:t>
      </w:r>
      <w:r w:rsidRPr="00D73610">
        <w:rPr>
          <w:rFonts w:ascii="Times New Roman" w:hAnsi="Times New Roman"/>
          <w:lang w:val="en-GB"/>
        </w:rPr>
        <w:t xml:space="preserve">E. Sharpston, G. De Baere, </w:t>
      </w:r>
      <w:r>
        <w:rPr>
          <w:rFonts w:ascii="Times New Roman" w:hAnsi="Times New Roman"/>
          <w:lang w:val="en-GB"/>
        </w:rPr>
        <w:t>‘</w:t>
      </w:r>
      <w:r w:rsidRPr="00962CA7">
        <w:rPr>
          <w:rFonts w:ascii="Times New Roman" w:hAnsi="Times New Roman"/>
          <w:lang w:val="en-GB"/>
        </w:rPr>
        <w:t>The Court of Justice as a Constitutional Adjudicator</w:t>
      </w:r>
      <w:r>
        <w:rPr>
          <w:rFonts w:ascii="Times New Roman" w:hAnsi="Times New Roman"/>
          <w:lang w:val="en-GB"/>
        </w:rPr>
        <w:t>’</w:t>
      </w:r>
      <w:r w:rsidRPr="00D73610">
        <w:rPr>
          <w:rFonts w:ascii="Times New Roman" w:hAnsi="Times New Roman"/>
          <w:lang w:val="en-GB"/>
        </w:rPr>
        <w:t xml:space="preserve"> in A. Arnull et al. (eds.), </w:t>
      </w:r>
      <w:r w:rsidRPr="00D73610">
        <w:rPr>
          <w:rFonts w:ascii="Times New Roman" w:hAnsi="Times New Roman"/>
          <w:i/>
          <w:iCs/>
          <w:lang w:val="en-GB"/>
        </w:rPr>
        <w:t>A Constitutional Order of States?</w:t>
      </w:r>
      <w:r w:rsidRPr="004D6B9C">
        <w:rPr>
          <w:rFonts w:ascii="Verdana" w:hAnsi="Verdana"/>
          <w:color w:val="000000"/>
          <w:sz w:val="13"/>
          <w:szCs w:val="13"/>
        </w:rPr>
        <w:t xml:space="preserve"> </w:t>
      </w:r>
      <w:r w:rsidRPr="004D6B9C">
        <w:rPr>
          <w:rFonts w:ascii="Times New Roman" w:hAnsi="Times New Roman"/>
          <w:i/>
          <w:iCs/>
        </w:rPr>
        <w:t>Essays in EU Law in Honour of Alan Dashwood</w:t>
      </w:r>
      <w:r>
        <w:rPr>
          <w:rFonts w:ascii="Times New Roman" w:hAnsi="Times New Roman"/>
          <w:lang w:val="en-GB"/>
        </w:rPr>
        <w:t xml:space="preserve"> (</w:t>
      </w:r>
      <w:r w:rsidRPr="00D73610">
        <w:rPr>
          <w:rFonts w:ascii="Times New Roman" w:hAnsi="Times New Roman"/>
          <w:lang w:val="en-GB"/>
        </w:rPr>
        <w:t>Oxfor</w:t>
      </w:r>
      <w:r>
        <w:rPr>
          <w:rFonts w:ascii="Times New Roman" w:hAnsi="Times New Roman"/>
          <w:lang w:val="en-GB"/>
        </w:rPr>
        <w:t>d, Portland: Hart, 2011), 123–150</w:t>
      </w:r>
      <w:r w:rsidRPr="00D73610">
        <w:rPr>
          <w:rFonts w:ascii="Times New Roman" w:hAnsi="Times New Roman"/>
          <w:lang w:val="en-GB"/>
        </w:rPr>
        <w:t>.</w:t>
      </w:r>
    </w:p>
  </w:footnote>
  <w:footnote w:id="2">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Council of the EU, </w:t>
      </w:r>
      <w:r w:rsidRPr="00D73610">
        <w:rPr>
          <w:rFonts w:ascii="Times New Roman" w:hAnsi="Times New Roman"/>
          <w:i/>
          <w:iCs/>
          <w:lang w:val="en-GB"/>
        </w:rPr>
        <w:t>IGC 2007 Mandate</w:t>
      </w:r>
      <w:r w:rsidRPr="00D73610">
        <w:rPr>
          <w:rFonts w:ascii="Times New Roman" w:hAnsi="Times New Roman"/>
          <w:lang w:val="en-GB"/>
        </w:rPr>
        <w:t xml:space="preserve">, document 11218/07, 26 June 2007, </w:t>
      </w:r>
      <w:r>
        <w:rPr>
          <w:rFonts w:ascii="Times New Roman" w:hAnsi="Times New Roman"/>
          <w:lang w:val="en-GB"/>
        </w:rPr>
        <w:t xml:space="preserve">at </w:t>
      </w:r>
      <w:r w:rsidRPr="00D73610">
        <w:rPr>
          <w:rFonts w:ascii="Times New Roman" w:hAnsi="Times New Roman"/>
          <w:lang w:val="en-GB"/>
        </w:rPr>
        <w:t>3.</w:t>
      </w:r>
    </w:p>
  </w:footnote>
  <w:footnote w:id="3">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Paradigmatic in this regard is R. Schuman, </w:t>
      </w:r>
      <w:r>
        <w:rPr>
          <w:rFonts w:ascii="Times New Roman" w:hAnsi="Times New Roman"/>
          <w:lang w:val="en-GB"/>
        </w:rPr>
        <w:t>‘</w:t>
      </w:r>
      <w:r w:rsidRPr="00D73610">
        <w:rPr>
          <w:rFonts w:ascii="Times New Roman" w:hAnsi="Times New Roman"/>
          <w:lang w:val="en-GB"/>
        </w:rPr>
        <w:t>Préface</w:t>
      </w:r>
      <w:r>
        <w:rPr>
          <w:rFonts w:ascii="Times New Roman" w:hAnsi="Times New Roman"/>
          <w:lang w:val="en-GB"/>
        </w:rPr>
        <w:t>’</w:t>
      </w:r>
      <w:r w:rsidRPr="00D73610">
        <w:rPr>
          <w:rFonts w:ascii="Times New Roman" w:hAnsi="Times New Roman"/>
          <w:lang w:val="en-GB"/>
        </w:rPr>
        <w:t xml:space="preserve"> in P. Reuter (ed.)</w:t>
      </w:r>
      <w:r w:rsidR="00CC7606">
        <w:rPr>
          <w:rFonts w:ascii="Times New Roman" w:hAnsi="Times New Roman"/>
          <w:lang w:val="en-GB"/>
        </w:rPr>
        <w:fldChar w:fldCharType="begin"/>
      </w:r>
      <w:r w:rsidRPr="00D73610">
        <w:rPr>
          <w:rFonts w:ascii="Times New Roman" w:hAnsi="Times New Roman"/>
          <w:lang w:val="en-GB"/>
        </w:rPr>
        <w:instrText>xe "Reuter, P."</w:instrText>
      </w:r>
      <w:r w:rsidR="00CC7606">
        <w:rPr>
          <w:rFonts w:ascii="Times New Roman" w:hAnsi="Times New Roman"/>
          <w:lang w:val="en-GB"/>
        </w:rPr>
        <w:fldChar w:fldCharType="end"/>
      </w:r>
      <w:r w:rsidRPr="00D73610">
        <w:rPr>
          <w:rFonts w:ascii="Times New Roman" w:hAnsi="Times New Roman"/>
          <w:lang w:val="en-GB"/>
        </w:rPr>
        <w:t xml:space="preserve">, </w:t>
      </w:r>
      <w:smartTag w:uri="urn:schemas-microsoft-com:office:smarttags" w:element="PersonName">
        <w:smartTagPr>
          <w:attr w:name="ProductID" w:val="La Communauté Européenne"/>
        </w:smartTagPr>
        <w:r w:rsidRPr="00D73610">
          <w:rPr>
            <w:rFonts w:ascii="Times New Roman" w:hAnsi="Times New Roman"/>
            <w:i/>
            <w:lang w:val="en-GB"/>
          </w:rPr>
          <w:t>La Communauté Européenne</w:t>
        </w:r>
      </w:smartTag>
      <w:r w:rsidRPr="00D73610">
        <w:rPr>
          <w:rFonts w:ascii="Times New Roman" w:hAnsi="Times New Roman"/>
          <w:i/>
          <w:lang w:val="en-GB"/>
        </w:rPr>
        <w:t xml:space="preserve"> de Charbon et de l’Acier</w:t>
      </w:r>
      <w:r>
        <w:rPr>
          <w:rFonts w:ascii="Times New Roman" w:hAnsi="Times New Roman"/>
          <w:lang w:val="en-GB"/>
        </w:rPr>
        <w:t xml:space="preserve"> (</w:t>
      </w:r>
      <w:r w:rsidRPr="00D73610">
        <w:rPr>
          <w:rFonts w:ascii="Times New Roman" w:hAnsi="Times New Roman"/>
          <w:lang w:val="en-GB"/>
        </w:rPr>
        <w:t>Paris</w:t>
      </w:r>
      <w:r>
        <w:rPr>
          <w:rFonts w:ascii="Times New Roman" w:hAnsi="Times New Roman"/>
          <w:lang w:val="en-GB"/>
        </w:rPr>
        <w:t>:</w:t>
      </w:r>
      <w:r w:rsidRPr="00D73610">
        <w:rPr>
          <w:rFonts w:ascii="Times New Roman" w:hAnsi="Times New Roman"/>
          <w:lang w:val="en-GB"/>
        </w:rPr>
        <w:t xml:space="preserve"> LGDJ, 1953</w:t>
      </w:r>
      <w:r>
        <w:rPr>
          <w:rFonts w:ascii="Times New Roman" w:hAnsi="Times New Roman"/>
          <w:lang w:val="en-GB"/>
        </w:rPr>
        <w:t>)</w:t>
      </w:r>
      <w:r w:rsidRPr="00D73610">
        <w:rPr>
          <w:rFonts w:ascii="Times New Roman" w:hAnsi="Times New Roman"/>
          <w:lang w:val="en-GB"/>
        </w:rPr>
        <w:t>,</w:t>
      </w:r>
      <w:r>
        <w:rPr>
          <w:rFonts w:ascii="Times New Roman" w:hAnsi="Times New Roman"/>
          <w:lang w:val="en-GB"/>
        </w:rPr>
        <w:t xml:space="preserve"> at</w:t>
      </w:r>
      <w:r w:rsidRPr="00D73610">
        <w:rPr>
          <w:rFonts w:ascii="Times New Roman" w:hAnsi="Times New Roman"/>
          <w:lang w:val="en-GB"/>
        </w:rPr>
        <w:t xml:space="preserve"> 7.</w:t>
      </w:r>
    </w:p>
  </w:footnote>
  <w:footnote w:id="4">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On the </w:t>
      </w:r>
      <w:r>
        <w:rPr>
          <w:rFonts w:ascii="Times New Roman" w:hAnsi="Times New Roman"/>
          <w:lang w:val="en-GB"/>
        </w:rPr>
        <w:t>‘</w:t>
      </w:r>
      <w:r w:rsidRPr="00D73610">
        <w:rPr>
          <w:rFonts w:ascii="Times New Roman" w:hAnsi="Times New Roman"/>
          <w:lang w:val="en-GB"/>
        </w:rPr>
        <w:t>problems of translation</w:t>
      </w:r>
      <w:r>
        <w:rPr>
          <w:rFonts w:ascii="Times New Roman" w:hAnsi="Times New Roman"/>
          <w:lang w:val="en-GB"/>
        </w:rPr>
        <w:t>’</w:t>
      </w:r>
      <w:r w:rsidRPr="00D73610">
        <w:rPr>
          <w:rFonts w:ascii="Times New Roman" w:hAnsi="Times New Roman"/>
          <w:lang w:val="en-GB"/>
        </w:rPr>
        <w:t xml:space="preserve"> of the concepts of constitutionalism from the state to the E</w:t>
      </w:r>
      <w:r>
        <w:rPr>
          <w:rFonts w:ascii="Times New Roman" w:hAnsi="Times New Roman"/>
          <w:lang w:val="en-GB"/>
        </w:rPr>
        <w:t xml:space="preserve">uropean </w:t>
      </w:r>
      <w:r w:rsidRPr="00D73610">
        <w:rPr>
          <w:rFonts w:ascii="Times New Roman" w:hAnsi="Times New Roman"/>
          <w:lang w:val="en-GB"/>
        </w:rPr>
        <w:t>U</w:t>
      </w:r>
      <w:r>
        <w:rPr>
          <w:rFonts w:ascii="Times New Roman" w:hAnsi="Times New Roman"/>
          <w:lang w:val="en-GB"/>
        </w:rPr>
        <w:t>nion setting</w:t>
      </w:r>
      <w:r w:rsidRPr="00D73610">
        <w:rPr>
          <w:rFonts w:ascii="Times New Roman" w:hAnsi="Times New Roman"/>
          <w:lang w:val="en-GB"/>
        </w:rPr>
        <w:t xml:space="preserve">, see N. Walker, </w:t>
      </w:r>
      <w:r>
        <w:rPr>
          <w:rFonts w:ascii="Times New Roman" w:hAnsi="Times New Roman"/>
          <w:lang w:val="en-GB"/>
        </w:rPr>
        <w:t>‘</w:t>
      </w:r>
      <w:r w:rsidRPr="00D73610">
        <w:rPr>
          <w:rFonts w:ascii="Times New Roman" w:hAnsi="Times New Roman"/>
          <w:lang w:val="en-GB"/>
        </w:rPr>
        <w:t>Postnational Constitutionalism and the Problem of Translation</w:t>
      </w:r>
      <w:r>
        <w:rPr>
          <w:rFonts w:ascii="Times New Roman" w:hAnsi="Times New Roman"/>
          <w:lang w:val="en-GB"/>
        </w:rPr>
        <w:t>’</w:t>
      </w:r>
      <w:r w:rsidRPr="00D73610">
        <w:rPr>
          <w:rFonts w:ascii="Times New Roman" w:hAnsi="Times New Roman"/>
          <w:lang w:val="en-GB"/>
        </w:rPr>
        <w:t xml:space="preserve">, in J.H.H. Weiler, M. Wind (eds.), </w:t>
      </w:r>
      <w:r w:rsidRPr="00D73610">
        <w:rPr>
          <w:rFonts w:ascii="Times New Roman" w:hAnsi="Times New Roman"/>
          <w:i/>
          <w:lang w:val="en-GB"/>
        </w:rPr>
        <w:t>European Constitutionalism Beyond the State</w:t>
      </w:r>
      <w:r>
        <w:rPr>
          <w:rFonts w:ascii="Times New Roman" w:hAnsi="Times New Roman"/>
          <w:lang w:val="en-GB"/>
        </w:rPr>
        <w:t xml:space="preserve"> (</w:t>
      </w:r>
      <w:r w:rsidRPr="00D73610">
        <w:rPr>
          <w:rFonts w:ascii="Times New Roman" w:hAnsi="Times New Roman"/>
          <w:lang w:val="en-GB"/>
        </w:rPr>
        <w:t>Cambridge</w:t>
      </w:r>
      <w:r>
        <w:rPr>
          <w:rFonts w:ascii="Times New Roman" w:hAnsi="Times New Roman"/>
          <w:lang w:val="en-GB"/>
        </w:rPr>
        <w:t xml:space="preserve"> </w:t>
      </w:r>
      <w:r w:rsidRPr="00D73610">
        <w:rPr>
          <w:rFonts w:ascii="Times New Roman" w:hAnsi="Times New Roman"/>
          <w:lang w:val="en-GB"/>
        </w:rPr>
        <w:t>U</w:t>
      </w:r>
      <w:r>
        <w:rPr>
          <w:rFonts w:ascii="Times New Roman" w:hAnsi="Times New Roman"/>
          <w:lang w:val="en-GB"/>
        </w:rPr>
        <w:t xml:space="preserve">niversity Press, </w:t>
      </w:r>
      <w:r w:rsidRPr="00D73610">
        <w:rPr>
          <w:rFonts w:ascii="Times New Roman" w:hAnsi="Times New Roman"/>
          <w:lang w:val="en-GB"/>
        </w:rPr>
        <w:t>2003</w:t>
      </w:r>
      <w:r>
        <w:rPr>
          <w:rFonts w:ascii="Times New Roman" w:hAnsi="Times New Roman"/>
          <w:lang w:val="en-GB"/>
        </w:rPr>
        <w:t>)</w:t>
      </w:r>
      <w:r w:rsidRPr="00D73610">
        <w:rPr>
          <w:rFonts w:ascii="Times New Roman" w:hAnsi="Times New Roman"/>
          <w:lang w:val="en-GB"/>
        </w:rPr>
        <w:t>, 27</w:t>
      </w:r>
      <w:r w:rsidRPr="00D73610">
        <w:rPr>
          <w:rFonts w:ascii="Times New Roman" w:hAnsi="Times New Roman"/>
          <w:iCs/>
          <w:lang w:val="en-GB"/>
        </w:rPr>
        <w:t>–</w:t>
      </w:r>
      <w:r w:rsidRPr="00D73610">
        <w:rPr>
          <w:rFonts w:ascii="Times New Roman" w:hAnsi="Times New Roman"/>
          <w:lang w:val="en-GB"/>
        </w:rPr>
        <w:t>54.</w:t>
      </w:r>
    </w:p>
  </w:footnote>
  <w:footnote w:id="5">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Pr>
          <w:rFonts w:ascii="Times New Roman" w:hAnsi="Times New Roman"/>
          <w:lang w:val="en-ZA"/>
        </w:rPr>
        <w:t>A.</w:t>
      </w:r>
      <w:r w:rsidRPr="007574D1">
        <w:rPr>
          <w:rFonts w:ascii="Times New Roman" w:hAnsi="Times New Roman"/>
          <w:lang w:val="en-ZA"/>
        </w:rPr>
        <w:t xml:space="preserve"> Jakab</w:t>
      </w:r>
      <w:r>
        <w:rPr>
          <w:rFonts w:ascii="Times New Roman" w:hAnsi="Times New Roman"/>
          <w:lang w:val="en-ZA"/>
        </w:rPr>
        <w:t>,</w:t>
      </w:r>
      <w:r w:rsidRPr="007574D1">
        <w:rPr>
          <w:rFonts w:ascii="Times New Roman" w:hAnsi="Times New Roman"/>
          <w:lang w:val="en-ZA"/>
        </w:rPr>
        <w:t xml:space="preserve"> </w:t>
      </w:r>
      <w:r>
        <w:rPr>
          <w:rFonts w:ascii="Times New Roman" w:hAnsi="Times New Roman"/>
          <w:lang w:val="en-ZA"/>
        </w:rPr>
        <w:t>‘</w:t>
      </w:r>
      <w:r w:rsidRPr="007574D1">
        <w:rPr>
          <w:rFonts w:ascii="Times New Roman" w:hAnsi="Times New Roman"/>
          <w:lang w:val="en-ZA"/>
        </w:rPr>
        <w:t>Constitutional Reasoning. A European Perspective on Judicial Reasoning in Constitutional</w:t>
      </w:r>
      <w:r>
        <w:rPr>
          <w:rFonts w:ascii="Times New Roman" w:hAnsi="Times New Roman"/>
          <w:lang w:val="en-ZA"/>
        </w:rPr>
        <w:t xml:space="preserve"> </w:t>
      </w:r>
      <w:r w:rsidRPr="007833B6">
        <w:rPr>
          <w:rFonts w:ascii="Times New Roman" w:hAnsi="Times New Roman"/>
        </w:rPr>
        <w:t>Courts</w:t>
      </w:r>
      <w:r>
        <w:rPr>
          <w:rFonts w:ascii="Times New Roman" w:hAnsi="Times New Roman"/>
        </w:rPr>
        <w:t xml:space="preserve">’, </w:t>
      </w:r>
      <w:r w:rsidRPr="007833B6">
        <w:rPr>
          <w:rFonts w:ascii="Times New Roman" w:hAnsi="Times New Roman"/>
          <w:i/>
        </w:rPr>
        <w:t>German Law Journal</w:t>
      </w:r>
      <w:r>
        <w:rPr>
          <w:rFonts w:ascii="Times New Roman" w:hAnsi="Times New Roman"/>
        </w:rPr>
        <w:t>,</w:t>
      </w:r>
      <w:r w:rsidRPr="007833B6">
        <w:rPr>
          <w:rFonts w:ascii="Times New Roman" w:hAnsi="Times New Roman"/>
        </w:rPr>
        <w:t xml:space="preserve"> </w:t>
      </w:r>
      <w:r>
        <w:rPr>
          <w:rFonts w:ascii="Times New Roman" w:hAnsi="Times New Roman"/>
        </w:rPr>
        <w:t>14 (</w:t>
      </w:r>
      <w:r w:rsidRPr="007833B6">
        <w:rPr>
          <w:rFonts w:ascii="Times New Roman" w:hAnsi="Times New Roman"/>
        </w:rPr>
        <w:t>2013</w:t>
      </w:r>
      <w:r>
        <w:rPr>
          <w:rFonts w:ascii="Times New Roman" w:hAnsi="Times New Roman"/>
        </w:rPr>
        <w:t xml:space="preserve">), </w:t>
      </w:r>
      <w:r w:rsidRPr="007833B6">
        <w:rPr>
          <w:rFonts w:ascii="Times New Roman" w:hAnsi="Times New Roman"/>
        </w:rPr>
        <w:t>1215</w:t>
      </w:r>
      <w:r w:rsidRPr="00D73610">
        <w:rPr>
          <w:rFonts w:ascii="Times New Roman" w:hAnsi="Times New Roman"/>
          <w:iCs/>
          <w:lang w:val="en-GB"/>
        </w:rPr>
        <w:t>–</w:t>
      </w:r>
      <w:r>
        <w:rPr>
          <w:rFonts w:ascii="Times New Roman" w:hAnsi="Times New Roman"/>
        </w:rPr>
        <w:t>1275 at 1216.</w:t>
      </w:r>
    </w:p>
  </w:footnote>
  <w:footnote w:id="6">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i/>
          <w:lang w:val="en-GB"/>
        </w:rPr>
        <w:t>Foto-Frost</w:t>
      </w:r>
      <w:r w:rsidRPr="00D73610">
        <w:rPr>
          <w:rFonts w:ascii="Times New Roman" w:hAnsi="Times New Roman"/>
          <w:lang w:val="en-GB"/>
        </w:rPr>
        <w:t xml:space="preserve"> (1985), </w:t>
      </w:r>
      <w:r>
        <w:rPr>
          <w:rFonts w:ascii="Times New Roman" w:hAnsi="Times New Roman"/>
          <w:lang w:val="en-GB"/>
        </w:rPr>
        <w:t>para.</w:t>
      </w:r>
      <w:r w:rsidRPr="00D73610">
        <w:rPr>
          <w:rFonts w:ascii="Times New Roman" w:hAnsi="Times New Roman"/>
          <w:lang w:val="en-GB"/>
        </w:rPr>
        <w:t xml:space="preserve"> 15.</w:t>
      </w:r>
    </w:p>
  </w:footnote>
  <w:footnote w:id="7">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On the constitutionalisation process, see A.-M. Slaughter, A. Stone Sweet, J.H.H. Weiler (eds.), </w:t>
      </w:r>
      <w:r w:rsidRPr="00D73610">
        <w:rPr>
          <w:rFonts w:ascii="Times New Roman" w:hAnsi="Times New Roman"/>
          <w:i/>
          <w:iCs/>
          <w:lang w:val="en-GB"/>
        </w:rPr>
        <w:t>The European Court and National Courts</w:t>
      </w:r>
      <w:r>
        <w:rPr>
          <w:rFonts w:ascii="Times New Roman" w:hAnsi="Times New Roman"/>
          <w:i/>
          <w:iCs/>
          <w:lang w:val="en-GB"/>
        </w:rPr>
        <w:t xml:space="preserve"> – </w:t>
      </w:r>
      <w:r w:rsidRPr="00D73610">
        <w:rPr>
          <w:rFonts w:ascii="Times New Roman" w:hAnsi="Times New Roman"/>
          <w:i/>
          <w:iCs/>
          <w:lang w:val="en-GB"/>
        </w:rPr>
        <w:t>Doctrine and Jurisprudence</w:t>
      </w:r>
      <w:r>
        <w:rPr>
          <w:rFonts w:ascii="Times New Roman" w:hAnsi="Times New Roman"/>
          <w:i/>
          <w:iCs/>
          <w:lang w:val="en-GB"/>
        </w:rPr>
        <w:t>: Legal Change in Its Social Context</w:t>
      </w:r>
      <w:r w:rsidRPr="00D73610">
        <w:rPr>
          <w:rFonts w:ascii="Times New Roman" w:hAnsi="Times New Roman"/>
          <w:lang w:val="en-GB"/>
        </w:rPr>
        <w:t xml:space="preserve"> </w:t>
      </w:r>
      <w:r>
        <w:rPr>
          <w:rFonts w:ascii="Times New Roman" w:hAnsi="Times New Roman"/>
          <w:lang w:val="en-GB"/>
        </w:rPr>
        <w:t>(</w:t>
      </w:r>
      <w:r w:rsidRPr="00D73610">
        <w:rPr>
          <w:rFonts w:ascii="Times New Roman" w:hAnsi="Times New Roman"/>
          <w:lang w:val="en-GB"/>
        </w:rPr>
        <w:t>Oxfor</w:t>
      </w:r>
      <w:r>
        <w:rPr>
          <w:rFonts w:ascii="Times New Roman" w:hAnsi="Times New Roman"/>
          <w:lang w:val="en-GB"/>
        </w:rPr>
        <w:t>d, Portland: Hart,</w:t>
      </w:r>
      <w:r w:rsidRPr="00D73610">
        <w:rPr>
          <w:rFonts w:ascii="Times New Roman" w:hAnsi="Times New Roman"/>
          <w:lang w:val="en-GB"/>
        </w:rPr>
        <w:t xml:space="preserve"> 1998</w:t>
      </w:r>
      <w:r>
        <w:rPr>
          <w:rFonts w:ascii="Times New Roman" w:hAnsi="Times New Roman"/>
          <w:lang w:val="en-GB"/>
        </w:rPr>
        <w:t>)</w:t>
      </w:r>
      <w:r w:rsidRPr="00D73610">
        <w:rPr>
          <w:rFonts w:ascii="Times New Roman" w:hAnsi="Times New Roman"/>
          <w:lang w:val="en-GB"/>
        </w:rPr>
        <w:t>; J.H.H. </w:t>
      </w:r>
      <w:r w:rsidRPr="00D73610">
        <w:rPr>
          <w:rFonts w:ascii="Times New Roman" w:hAnsi="Times New Roman"/>
          <w:bCs/>
          <w:lang w:val="en-GB"/>
        </w:rPr>
        <w:t>Weiler,</w:t>
      </w:r>
      <w:r w:rsidRPr="00D73610">
        <w:rPr>
          <w:rFonts w:ascii="Times New Roman" w:hAnsi="Times New Roman"/>
          <w:b/>
          <w:bCs/>
          <w:lang w:val="en-GB"/>
        </w:rPr>
        <w:t xml:space="preserve"> </w:t>
      </w:r>
      <w:r w:rsidRPr="00D73610">
        <w:rPr>
          <w:rFonts w:ascii="Times New Roman" w:hAnsi="Times New Roman"/>
          <w:i/>
          <w:lang w:val="en-GB"/>
        </w:rPr>
        <w:t xml:space="preserve">The Constitution of </w:t>
      </w:r>
      <w:r w:rsidRPr="00D622CF">
        <w:rPr>
          <w:rFonts w:ascii="Times New Roman" w:hAnsi="Times New Roman"/>
          <w:i/>
          <w:lang w:val="en-GB"/>
        </w:rPr>
        <w:t xml:space="preserve">Europe: </w:t>
      </w:r>
      <w:r w:rsidRPr="00D622CF">
        <w:rPr>
          <w:rFonts w:ascii="Times New Roman" w:hAnsi="Times New Roman"/>
          <w:i/>
        </w:rPr>
        <w:t>‘Do the New Clothes Have an Emperor?’ and Other Essays on European Integration</w:t>
      </w:r>
      <w:r>
        <w:rPr>
          <w:rFonts w:ascii="Times New Roman" w:hAnsi="Times New Roman"/>
        </w:rPr>
        <w:t xml:space="preserve"> </w:t>
      </w:r>
      <w:r>
        <w:rPr>
          <w:rFonts w:ascii="Times New Roman" w:hAnsi="Times New Roman"/>
          <w:lang w:val="en-GB"/>
        </w:rPr>
        <w:t>(</w:t>
      </w:r>
      <w:r w:rsidRPr="00D73610">
        <w:rPr>
          <w:rFonts w:ascii="Times New Roman" w:hAnsi="Times New Roman"/>
          <w:lang w:val="en-GB"/>
        </w:rPr>
        <w:t>Cambridge</w:t>
      </w:r>
      <w:r>
        <w:rPr>
          <w:rFonts w:ascii="Times New Roman" w:hAnsi="Times New Roman"/>
          <w:lang w:val="en-GB"/>
        </w:rPr>
        <w:t xml:space="preserve"> </w:t>
      </w:r>
      <w:r w:rsidRPr="00D73610">
        <w:rPr>
          <w:rFonts w:ascii="Times New Roman" w:hAnsi="Times New Roman"/>
          <w:lang w:val="en-GB"/>
        </w:rPr>
        <w:t>U</w:t>
      </w:r>
      <w:r>
        <w:rPr>
          <w:rFonts w:ascii="Times New Roman" w:hAnsi="Times New Roman"/>
          <w:lang w:val="en-GB"/>
        </w:rPr>
        <w:t xml:space="preserve">niversity </w:t>
      </w:r>
      <w:r w:rsidRPr="00D73610">
        <w:rPr>
          <w:rFonts w:ascii="Times New Roman" w:hAnsi="Times New Roman"/>
          <w:lang w:val="en-GB"/>
        </w:rPr>
        <w:t>P</w:t>
      </w:r>
      <w:r>
        <w:rPr>
          <w:rFonts w:ascii="Times New Roman" w:hAnsi="Times New Roman"/>
          <w:lang w:val="en-GB"/>
        </w:rPr>
        <w:t>ress,</w:t>
      </w:r>
      <w:r w:rsidRPr="00D73610">
        <w:rPr>
          <w:rFonts w:ascii="Times New Roman" w:hAnsi="Times New Roman"/>
          <w:lang w:val="en-GB"/>
        </w:rPr>
        <w:t xml:space="preserve"> 1999</w:t>
      </w:r>
      <w:r>
        <w:rPr>
          <w:rFonts w:ascii="Times New Roman" w:hAnsi="Times New Roman"/>
          <w:lang w:val="en-GB"/>
        </w:rPr>
        <w:t>)</w:t>
      </w:r>
      <w:r w:rsidRPr="00D73610">
        <w:rPr>
          <w:rFonts w:ascii="Times New Roman" w:hAnsi="Times New Roman"/>
          <w:lang w:val="en-GB"/>
        </w:rPr>
        <w:t xml:space="preserve">; A. Stone Sweet, </w:t>
      </w:r>
      <w:r w:rsidRPr="00D73610">
        <w:rPr>
          <w:rFonts w:ascii="Times New Roman" w:hAnsi="Times New Roman"/>
          <w:i/>
          <w:lang w:val="en-GB"/>
        </w:rPr>
        <w:t>The Judicial Construction of Europe</w:t>
      </w:r>
      <w:r>
        <w:rPr>
          <w:rFonts w:ascii="Times New Roman" w:hAnsi="Times New Roman"/>
          <w:lang w:val="en-GB"/>
        </w:rPr>
        <w:t xml:space="preserve"> (</w:t>
      </w:r>
      <w:r w:rsidRPr="00D73610">
        <w:rPr>
          <w:rFonts w:ascii="Times New Roman" w:hAnsi="Times New Roman"/>
          <w:lang w:val="en-GB"/>
        </w:rPr>
        <w:t>Oxford</w:t>
      </w:r>
      <w:r>
        <w:rPr>
          <w:rFonts w:ascii="Times New Roman" w:hAnsi="Times New Roman"/>
          <w:lang w:val="en-GB"/>
        </w:rPr>
        <w:t xml:space="preserve"> </w:t>
      </w:r>
      <w:r w:rsidRPr="00D73610">
        <w:rPr>
          <w:rFonts w:ascii="Times New Roman" w:hAnsi="Times New Roman"/>
          <w:lang w:val="en-GB"/>
        </w:rPr>
        <w:t>U</w:t>
      </w:r>
      <w:r>
        <w:rPr>
          <w:rFonts w:ascii="Times New Roman" w:hAnsi="Times New Roman"/>
          <w:lang w:val="en-GB"/>
        </w:rPr>
        <w:t xml:space="preserve">niversity </w:t>
      </w:r>
      <w:r w:rsidRPr="00D73610">
        <w:rPr>
          <w:rFonts w:ascii="Times New Roman" w:hAnsi="Times New Roman"/>
          <w:lang w:val="en-GB"/>
        </w:rPr>
        <w:t>P</w:t>
      </w:r>
      <w:r>
        <w:rPr>
          <w:rFonts w:ascii="Times New Roman" w:hAnsi="Times New Roman"/>
          <w:lang w:val="en-GB"/>
        </w:rPr>
        <w:t>ress</w:t>
      </w:r>
      <w:r w:rsidRPr="00D73610">
        <w:rPr>
          <w:rFonts w:ascii="Times New Roman" w:hAnsi="Times New Roman"/>
          <w:lang w:val="en-GB"/>
        </w:rPr>
        <w:t>, 2004</w:t>
      </w:r>
      <w:r>
        <w:rPr>
          <w:rFonts w:ascii="Times New Roman" w:hAnsi="Times New Roman"/>
          <w:lang w:val="en-GB"/>
        </w:rPr>
        <w:t>)</w:t>
      </w:r>
      <w:r w:rsidRPr="00D73610">
        <w:rPr>
          <w:rFonts w:ascii="Times New Roman" w:hAnsi="Times New Roman"/>
          <w:lang w:val="en-GB"/>
        </w:rPr>
        <w:t xml:space="preserve">. See also G. Itzcovich, </w:t>
      </w:r>
      <w:r w:rsidRPr="00D73610">
        <w:rPr>
          <w:rFonts w:ascii="Times New Roman" w:hAnsi="Times New Roman"/>
          <w:i/>
          <w:iCs/>
          <w:lang w:val="en-GB"/>
        </w:rPr>
        <w:t xml:space="preserve">Teorie e ideologie </w:t>
      </w:r>
      <w:smartTag w:uri="urn:schemas-microsoft-com:office:smarttags" w:element="State">
        <w:r w:rsidRPr="00D73610">
          <w:rPr>
            <w:rFonts w:ascii="Times New Roman" w:hAnsi="Times New Roman"/>
            <w:i/>
            <w:iCs/>
            <w:lang w:val="en-GB"/>
          </w:rPr>
          <w:t>del</w:t>
        </w:r>
      </w:smartTag>
      <w:r w:rsidRPr="00D73610">
        <w:rPr>
          <w:rFonts w:ascii="Times New Roman" w:hAnsi="Times New Roman"/>
          <w:i/>
          <w:iCs/>
          <w:lang w:val="en-GB"/>
        </w:rPr>
        <w:t xml:space="preserve"> diritto comunitario</w:t>
      </w:r>
      <w:r>
        <w:rPr>
          <w:rFonts w:ascii="Times New Roman" w:hAnsi="Times New Roman"/>
          <w:lang w:val="en-GB"/>
        </w:rPr>
        <w:t xml:space="preserve"> (</w:t>
      </w:r>
      <w:smartTag w:uri="urn:schemas-microsoft-com:office:smarttags" w:element="place">
        <w:r w:rsidRPr="00D73610">
          <w:rPr>
            <w:rFonts w:ascii="Times New Roman" w:hAnsi="Times New Roman"/>
            <w:lang w:val="en-GB"/>
          </w:rPr>
          <w:t>Torino</w:t>
        </w:r>
      </w:smartTag>
      <w:r>
        <w:rPr>
          <w:rFonts w:ascii="Times New Roman" w:hAnsi="Times New Roman"/>
          <w:lang w:val="en-GB"/>
        </w:rPr>
        <w:t>:</w:t>
      </w:r>
      <w:r w:rsidRPr="00D73610">
        <w:rPr>
          <w:rFonts w:ascii="Times New Roman" w:hAnsi="Times New Roman"/>
          <w:lang w:val="en-GB"/>
        </w:rPr>
        <w:t xml:space="preserve"> Giappichelli, 2006</w:t>
      </w:r>
      <w:r>
        <w:rPr>
          <w:rFonts w:ascii="Times New Roman" w:hAnsi="Times New Roman"/>
          <w:lang w:val="en-GB"/>
        </w:rPr>
        <w:t>)</w:t>
      </w:r>
      <w:r w:rsidRPr="00D73610">
        <w:rPr>
          <w:rFonts w:ascii="Times New Roman" w:hAnsi="Times New Roman"/>
          <w:lang w:val="en-GB"/>
        </w:rPr>
        <w:t>, 85 ff.;</w:t>
      </w:r>
      <w:r>
        <w:rPr>
          <w:rFonts w:ascii="Times New Roman" w:hAnsi="Times New Roman"/>
          <w:lang w:val="en-GB"/>
        </w:rPr>
        <w:t xml:space="preserve"> A. Vauchez, ‘</w:t>
      </w:r>
      <w:r w:rsidRPr="00D73610">
        <w:rPr>
          <w:rFonts w:ascii="Times New Roman" w:hAnsi="Times New Roman"/>
          <w:lang w:val="en-GB"/>
        </w:rPr>
        <w:t xml:space="preserve">The Transnational Politics of Judicialization. </w:t>
      </w:r>
      <w:r w:rsidRPr="00D73610">
        <w:rPr>
          <w:rFonts w:ascii="Times New Roman" w:hAnsi="Times New Roman"/>
          <w:i/>
          <w:lang w:val="en-GB"/>
        </w:rPr>
        <w:t>Van Gend en Loos</w:t>
      </w:r>
      <w:r w:rsidRPr="00D73610">
        <w:rPr>
          <w:rFonts w:ascii="Times New Roman" w:hAnsi="Times New Roman"/>
          <w:lang w:val="en-GB"/>
        </w:rPr>
        <w:t xml:space="preserve"> and the Making of EU Polity</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iCs/>
          <w:lang w:val="en-GB"/>
        </w:rPr>
        <w:t>European Law Journal</w:t>
      </w:r>
      <w:r>
        <w:rPr>
          <w:rFonts w:ascii="Times New Roman" w:hAnsi="Times New Roman"/>
          <w:iCs/>
          <w:lang w:val="en-GB"/>
        </w:rPr>
        <w:t>, 16 (</w:t>
      </w:r>
      <w:r w:rsidRPr="00D73610">
        <w:rPr>
          <w:rFonts w:ascii="Times New Roman" w:hAnsi="Times New Roman"/>
          <w:iCs/>
          <w:lang w:val="en-GB"/>
        </w:rPr>
        <w:t>2010</w:t>
      </w:r>
      <w:r>
        <w:rPr>
          <w:rFonts w:ascii="Times New Roman" w:hAnsi="Times New Roman"/>
          <w:iCs/>
          <w:lang w:val="en-GB"/>
        </w:rPr>
        <w:t>)</w:t>
      </w:r>
      <w:r w:rsidRPr="00D73610">
        <w:rPr>
          <w:rFonts w:ascii="Times New Roman" w:hAnsi="Times New Roman"/>
          <w:iCs/>
          <w:lang w:val="en-GB"/>
        </w:rPr>
        <w:t>, 1–28.</w:t>
      </w:r>
    </w:p>
  </w:footnote>
  <w:footnote w:id="8">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Pr>
          <w:rFonts w:ascii="Times New Roman" w:hAnsi="Times New Roman"/>
          <w:lang w:val="en-GB"/>
        </w:rPr>
        <w:t>‘</w:t>
      </w:r>
      <w:r w:rsidRPr="00D73610">
        <w:rPr>
          <w:rFonts w:ascii="Times New Roman" w:hAnsi="Times New Roman"/>
          <w:lang w:val="en-GB"/>
        </w:rPr>
        <w:t>Direct effect</w:t>
      </w:r>
      <w:r>
        <w:rPr>
          <w:rFonts w:ascii="Times New Roman" w:hAnsi="Times New Roman"/>
          <w:lang w:val="en-GB"/>
        </w:rPr>
        <w:t>’</w:t>
      </w:r>
      <w:r w:rsidRPr="00D73610">
        <w:rPr>
          <w:rFonts w:ascii="Times New Roman" w:hAnsi="Times New Roman"/>
          <w:lang w:val="en-GB"/>
        </w:rPr>
        <w:t xml:space="preserve"> is </w:t>
      </w:r>
      <w:r w:rsidRPr="00D73610">
        <w:rPr>
          <w:rFonts w:ascii="Times New Roman" w:hAnsi="Times New Roman"/>
          <w:iCs/>
          <w:lang w:val="en-GB"/>
        </w:rPr>
        <w:t xml:space="preserve">the obligation of a court or another authority to apply the relevant provision of EU law, either as a norm which governs the case or as a standard legal review, and </w:t>
      </w:r>
      <w:r>
        <w:rPr>
          <w:rFonts w:ascii="Times New Roman" w:hAnsi="Times New Roman"/>
          <w:iCs/>
          <w:lang w:val="en-GB"/>
        </w:rPr>
        <w:t>‘</w:t>
      </w:r>
      <w:r w:rsidRPr="00D73610">
        <w:rPr>
          <w:rFonts w:ascii="Times New Roman" w:hAnsi="Times New Roman"/>
          <w:iCs/>
          <w:lang w:val="en-GB"/>
        </w:rPr>
        <w:t>s</w:t>
      </w:r>
      <w:r w:rsidRPr="00D73610">
        <w:rPr>
          <w:rFonts w:ascii="Times New Roman" w:hAnsi="Times New Roman"/>
          <w:lang w:val="en-GB"/>
        </w:rPr>
        <w:t>upremacy</w:t>
      </w:r>
      <w:r>
        <w:rPr>
          <w:rFonts w:ascii="Times New Roman" w:hAnsi="Times New Roman"/>
          <w:lang w:val="en-GB"/>
        </w:rPr>
        <w:t>’</w:t>
      </w:r>
      <w:r w:rsidRPr="00D73610">
        <w:rPr>
          <w:rFonts w:ascii="Times New Roman" w:hAnsi="Times New Roman"/>
          <w:lang w:val="en-GB"/>
        </w:rPr>
        <w:t xml:space="preserve"> is the capacity of EU law to take precedence over inconsistent norms of national law: S. Prechal, </w:t>
      </w:r>
      <w:r>
        <w:rPr>
          <w:rFonts w:ascii="Times New Roman" w:hAnsi="Times New Roman"/>
          <w:lang w:val="en-GB"/>
        </w:rPr>
        <w:t>‘</w:t>
      </w:r>
      <w:r w:rsidRPr="00D73610">
        <w:rPr>
          <w:rFonts w:ascii="Times New Roman" w:hAnsi="Times New Roman"/>
          <w:lang w:val="en-GB"/>
        </w:rPr>
        <w:t>Direct Effect, Indirect Effect, Supremacy and the Evolving Constitution of the European Union</w:t>
      </w:r>
      <w:r>
        <w:rPr>
          <w:rFonts w:ascii="Times New Roman" w:hAnsi="Times New Roman"/>
          <w:lang w:val="en-GB"/>
        </w:rPr>
        <w:t>’</w:t>
      </w:r>
      <w:r w:rsidRPr="00D73610">
        <w:rPr>
          <w:rFonts w:ascii="Times New Roman" w:hAnsi="Times New Roman"/>
          <w:lang w:val="en-GB"/>
        </w:rPr>
        <w:t xml:space="preserve">, in C. Barnard (ed.), </w:t>
      </w:r>
      <w:r w:rsidRPr="00D73610">
        <w:rPr>
          <w:rFonts w:ascii="Times New Roman" w:hAnsi="Times New Roman"/>
          <w:i/>
          <w:lang w:val="en-GB"/>
        </w:rPr>
        <w:t>The Fundamental of EU Law Revisited</w:t>
      </w:r>
      <w:r>
        <w:rPr>
          <w:rFonts w:ascii="Times New Roman" w:hAnsi="Times New Roman"/>
          <w:lang w:val="en-GB"/>
        </w:rPr>
        <w:t xml:space="preserve"> (</w:t>
      </w:r>
      <w:r w:rsidRPr="00D73610">
        <w:rPr>
          <w:rFonts w:ascii="Times New Roman" w:hAnsi="Times New Roman"/>
          <w:lang w:val="en-GB"/>
        </w:rPr>
        <w:t>Oxford</w:t>
      </w:r>
      <w:r>
        <w:rPr>
          <w:rFonts w:ascii="Times New Roman" w:hAnsi="Times New Roman"/>
          <w:lang w:val="en-GB"/>
        </w:rPr>
        <w:t xml:space="preserve"> </w:t>
      </w:r>
      <w:r w:rsidRPr="009E3701">
        <w:rPr>
          <w:rFonts w:ascii="Times New Roman" w:hAnsi="Times New Roman"/>
          <w:lang w:val="en-GB"/>
        </w:rPr>
        <w:t>University Press, 2007), 35–69, at 37–8.</w:t>
      </w:r>
    </w:p>
  </w:footnote>
  <w:footnote w:id="9">
    <w:p w:rsidR="005E6612" w:rsidRDefault="005E6612" w:rsidP="00340834">
      <w:pPr>
        <w:pStyle w:val="Testonotaapidipagina"/>
        <w:jc w:val="both"/>
      </w:pPr>
      <w:r w:rsidRPr="009E3701">
        <w:rPr>
          <w:rStyle w:val="Rimandonotaapidipagina"/>
          <w:rFonts w:ascii="Times New Roman" w:hAnsi="Times New Roman"/>
          <w:lang w:val="en-GB"/>
        </w:rPr>
        <w:footnoteRef/>
      </w:r>
      <w:r w:rsidRPr="009E3701">
        <w:rPr>
          <w:rFonts w:ascii="Times New Roman" w:hAnsi="Times New Roman"/>
          <w:lang w:val="en-GB"/>
        </w:rPr>
        <w:t xml:space="preserve"> One rare recent example </w:t>
      </w:r>
      <w:r>
        <w:rPr>
          <w:rFonts w:ascii="Times New Roman" w:hAnsi="Times New Roman"/>
          <w:lang w:val="en-GB"/>
        </w:rPr>
        <w:t xml:space="preserve">is Case </w:t>
      </w:r>
      <w:r w:rsidRPr="009E3701">
        <w:rPr>
          <w:rFonts w:ascii="Times New Roman" w:hAnsi="Times New Roman"/>
        </w:rPr>
        <w:t>C-364/10</w:t>
      </w:r>
      <w:r>
        <w:rPr>
          <w:rFonts w:ascii="Times New Roman" w:hAnsi="Times New Roman"/>
        </w:rPr>
        <w:t xml:space="preserve">, </w:t>
      </w:r>
      <w:r w:rsidRPr="00340834">
        <w:rPr>
          <w:rFonts w:ascii="Times New Roman" w:hAnsi="Times New Roman"/>
          <w:i/>
        </w:rPr>
        <w:t>Hungary v Slovakia</w:t>
      </w:r>
      <w:r>
        <w:rPr>
          <w:rFonts w:ascii="Times New Roman" w:hAnsi="Times New Roman"/>
        </w:rPr>
        <w:t xml:space="preserve"> [2012] not yet published, on the </w:t>
      </w:r>
      <w:r w:rsidRPr="00340834">
        <w:rPr>
          <w:rFonts w:ascii="Times New Roman" w:hAnsi="Times New Roman"/>
          <w:bCs/>
        </w:rPr>
        <w:t>ban of Hungarian President</w:t>
      </w:r>
      <w:r>
        <w:rPr>
          <w:rFonts w:ascii="Times New Roman" w:hAnsi="Times New Roman"/>
          <w:bCs/>
        </w:rPr>
        <w:t xml:space="preserve"> </w:t>
      </w:r>
      <w:r w:rsidRPr="00340834">
        <w:rPr>
          <w:rFonts w:ascii="Times New Roman" w:hAnsi="Times New Roman"/>
          <w:bCs/>
        </w:rPr>
        <w:t>László Sólyom</w:t>
      </w:r>
      <w:r>
        <w:rPr>
          <w:rFonts w:ascii="Times New Roman" w:hAnsi="Times New Roman"/>
          <w:bCs/>
        </w:rPr>
        <w:t xml:space="preserve"> </w:t>
      </w:r>
      <w:r w:rsidRPr="00340834">
        <w:rPr>
          <w:rFonts w:ascii="Times New Roman" w:hAnsi="Times New Roman"/>
          <w:bCs/>
        </w:rPr>
        <w:t>from Slovakia</w:t>
      </w:r>
      <w:r>
        <w:rPr>
          <w:rFonts w:ascii="Times New Roman" w:hAnsi="Times New Roman"/>
          <w:bCs/>
        </w:rPr>
        <w:t xml:space="preserve"> in August </w:t>
      </w:r>
      <w:r w:rsidRPr="00340834">
        <w:rPr>
          <w:rFonts w:ascii="Times New Roman" w:hAnsi="Times New Roman"/>
          <w:bCs/>
        </w:rPr>
        <w:t>2009</w:t>
      </w:r>
      <w:r>
        <w:rPr>
          <w:rFonts w:ascii="Times New Roman" w:hAnsi="Times New Roman"/>
          <w:bCs/>
        </w:rPr>
        <w:t>.</w:t>
      </w:r>
    </w:p>
  </w:footnote>
  <w:footnote w:id="10">
    <w:p w:rsidR="005E6612" w:rsidRDefault="005E6612" w:rsidP="00B27D8E">
      <w:pPr>
        <w:pStyle w:val="Testonotaapidipagina"/>
        <w:jc w:val="both"/>
      </w:pPr>
      <w:r w:rsidRPr="009E3701">
        <w:rPr>
          <w:rStyle w:val="Rimandonotaapidipagina"/>
          <w:rFonts w:ascii="Times New Roman" w:hAnsi="Times New Roman"/>
          <w:lang w:val="en-GB"/>
        </w:rPr>
        <w:footnoteRef/>
      </w:r>
      <w:r w:rsidRPr="009E3701">
        <w:rPr>
          <w:rFonts w:ascii="Times New Roman" w:hAnsi="Times New Roman"/>
          <w:lang w:val="en-GB"/>
        </w:rPr>
        <w:t xml:space="preserve"> P</w:t>
      </w:r>
      <w:r w:rsidRPr="00D73610">
        <w:rPr>
          <w:rFonts w:ascii="Times New Roman" w:hAnsi="Times New Roman"/>
          <w:lang w:val="en-GB"/>
        </w:rPr>
        <w:t xml:space="preserve">. Craig, </w:t>
      </w:r>
      <w:r>
        <w:rPr>
          <w:rFonts w:ascii="Times New Roman" w:hAnsi="Times New Roman"/>
          <w:lang w:val="en-GB"/>
        </w:rPr>
        <w:t>‘</w:t>
      </w:r>
      <w:r w:rsidRPr="00D73610">
        <w:rPr>
          <w:rFonts w:ascii="Times New Roman" w:hAnsi="Times New Roman"/>
          <w:lang w:val="en-GB"/>
        </w:rPr>
        <w:t>The Jurisdiction of the Community Courts Reconsidered</w:t>
      </w:r>
      <w:r>
        <w:rPr>
          <w:rFonts w:ascii="Times New Roman" w:hAnsi="Times New Roman"/>
          <w:lang w:val="en-GB"/>
        </w:rPr>
        <w:t>’</w:t>
      </w:r>
      <w:r w:rsidRPr="00D73610">
        <w:rPr>
          <w:rFonts w:ascii="Times New Roman" w:hAnsi="Times New Roman"/>
          <w:lang w:val="en-GB"/>
        </w:rPr>
        <w:t xml:space="preserve">, in G. de Búrca, J.H.H. Weiler (eds.), </w:t>
      </w:r>
      <w:r w:rsidRPr="00D73610">
        <w:rPr>
          <w:rFonts w:ascii="Times New Roman" w:hAnsi="Times New Roman"/>
          <w:i/>
          <w:lang w:val="en-GB"/>
        </w:rPr>
        <w:t>The European Court of Justice</w:t>
      </w:r>
      <w:r>
        <w:rPr>
          <w:rFonts w:ascii="Times New Roman" w:hAnsi="Times New Roman"/>
          <w:lang w:val="en-GB"/>
        </w:rPr>
        <w:t xml:space="preserve"> (</w:t>
      </w:r>
      <w:r w:rsidRPr="00D73610">
        <w:rPr>
          <w:rFonts w:ascii="Times New Roman" w:hAnsi="Times New Roman"/>
          <w:lang w:val="en-GB"/>
        </w:rPr>
        <w:t>Oxford</w:t>
      </w:r>
      <w:r>
        <w:rPr>
          <w:rFonts w:ascii="Times New Roman" w:hAnsi="Times New Roman"/>
          <w:lang w:val="en-GB"/>
        </w:rPr>
        <w:t xml:space="preserve"> University Press</w:t>
      </w:r>
      <w:r w:rsidRPr="00D73610">
        <w:rPr>
          <w:rFonts w:ascii="Times New Roman" w:hAnsi="Times New Roman"/>
          <w:lang w:val="en-GB"/>
        </w:rPr>
        <w:t>, 2001</w:t>
      </w:r>
      <w:r>
        <w:rPr>
          <w:rFonts w:ascii="Times New Roman" w:hAnsi="Times New Roman"/>
          <w:lang w:val="en-GB"/>
        </w:rPr>
        <w:t>)</w:t>
      </w:r>
      <w:r w:rsidRPr="00D73610">
        <w:rPr>
          <w:rFonts w:ascii="Times New Roman" w:hAnsi="Times New Roman"/>
          <w:lang w:val="en-GB"/>
        </w:rPr>
        <w:t xml:space="preserve"> 177</w:t>
      </w:r>
      <w:r w:rsidRPr="00D73610">
        <w:rPr>
          <w:rFonts w:ascii="Times New Roman" w:hAnsi="Times New Roman"/>
          <w:iCs/>
          <w:lang w:val="en-GB"/>
        </w:rPr>
        <w:t>–</w:t>
      </w:r>
      <w:r w:rsidRPr="00D73610">
        <w:rPr>
          <w:rFonts w:ascii="Times New Roman" w:hAnsi="Times New Roman"/>
          <w:lang w:val="en-GB"/>
        </w:rPr>
        <w:t xml:space="preserve">214, examining the mechanisms possessed by the </w:t>
      </w:r>
      <w:r w:rsidRPr="003D634E">
        <w:rPr>
          <w:rFonts w:ascii="Times New Roman" w:hAnsi="Times New Roman"/>
          <w:lang w:val="en-GB"/>
        </w:rPr>
        <w:t xml:space="preserve">Court </w:t>
      </w:r>
      <w:r w:rsidRPr="00D73610">
        <w:rPr>
          <w:rFonts w:ascii="Times New Roman" w:hAnsi="Times New Roman"/>
          <w:lang w:val="en-GB"/>
        </w:rPr>
        <w:t>for controlling the number of cases brought before it.</w:t>
      </w:r>
    </w:p>
  </w:footnote>
  <w:footnote w:id="11">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Detailed statistics </w:t>
      </w:r>
      <w:r w:rsidRPr="00D73610">
        <w:rPr>
          <w:rFonts w:ascii="Times New Roman" w:hAnsi="Times New Roman"/>
          <w:bCs/>
          <w:lang w:val="en-GB"/>
        </w:rPr>
        <w:t xml:space="preserve">concerning the judicial activity of the </w:t>
      </w:r>
      <w:r w:rsidRPr="003D634E">
        <w:rPr>
          <w:rFonts w:ascii="Times New Roman" w:hAnsi="Times New Roman"/>
          <w:bCs/>
          <w:lang w:val="en-GB"/>
        </w:rPr>
        <w:t>Court of Justice</w:t>
      </w:r>
      <w:r w:rsidRPr="00D73610">
        <w:rPr>
          <w:rFonts w:ascii="Times New Roman" w:hAnsi="Times New Roman"/>
          <w:lang w:val="en-GB"/>
        </w:rPr>
        <w:t xml:space="preserve"> are available </w:t>
      </w:r>
      <w:r w:rsidRPr="00D73610">
        <w:rPr>
          <w:rFonts w:ascii="Times New Roman" w:hAnsi="Times New Roman"/>
          <w:bCs/>
          <w:lang w:val="en-GB"/>
        </w:rPr>
        <w:t>on the website of the Court</w:t>
      </w:r>
      <w:r w:rsidRPr="00D73610">
        <w:rPr>
          <w:rFonts w:ascii="Times New Roman" w:hAnsi="Times New Roman"/>
          <w:lang w:val="en-GB"/>
        </w:rPr>
        <w:t xml:space="preserve">. See the CJEU, </w:t>
      </w:r>
      <w:r w:rsidRPr="00D73610">
        <w:rPr>
          <w:rFonts w:ascii="Times New Roman" w:hAnsi="Times New Roman"/>
          <w:i/>
          <w:iCs/>
          <w:lang w:val="en-GB"/>
        </w:rPr>
        <w:t>Annual Report 2011</w:t>
      </w:r>
      <w:r w:rsidRPr="00D73610">
        <w:rPr>
          <w:rFonts w:ascii="Times New Roman" w:hAnsi="Times New Roman"/>
          <w:lang w:val="en-GB"/>
        </w:rPr>
        <w:t xml:space="preserve">, Luxembourg, 2012, at </w:t>
      </w:r>
      <w:r w:rsidRPr="00154AF9">
        <w:rPr>
          <w:rFonts w:ascii="Times New Roman" w:hAnsi="Times New Roman"/>
          <w:lang w:val="en-GB"/>
        </w:rPr>
        <w:t>http://curia.europa.eu/jcms/jcms/Jo2_7000/</w:t>
      </w:r>
      <w:r>
        <w:rPr>
          <w:rFonts w:ascii="Times New Roman" w:hAnsi="Times New Roman"/>
          <w:lang w:val="en-GB"/>
        </w:rPr>
        <w:t xml:space="preserve">. </w:t>
      </w:r>
    </w:p>
  </w:footnote>
  <w:footnote w:id="12">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CJEU, </w:t>
      </w:r>
      <w:r w:rsidRPr="00D73610">
        <w:rPr>
          <w:rFonts w:ascii="Times New Roman" w:hAnsi="Times New Roman"/>
          <w:i/>
          <w:iCs/>
          <w:lang w:val="en-GB"/>
        </w:rPr>
        <w:t>Annual Report 2011</w:t>
      </w:r>
      <w:r w:rsidRPr="00D73610">
        <w:rPr>
          <w:rFonts w:ascii="Times New Roman" w:hAnsi="Times New Roman"/>
          <w:iCs/>
          <w:lang w:val="en-GB"/>
        </w:rPr>
        <w:t>.</w:t>
      </w:r>
    </w:p>
  </w:footnote>
  <w:footnote w:id="13">
    <w:p w:rsidR="005E6612" w:rsidRDefault="005E6612" w:rsidP="00B27D8E">
      <w:pPr>
        <w:pStyle w:val="Testonotaapidipagina"/>
        <w:jc w:val="both"/>
      </w:pPr>
      <w:r w:rsidRPr="00DC333D">
        <w:rPr>
          <w:rStyle w:val="Rimandonotaapidipagina"/>
          <w:rFonts w:ascii="Times New Roman" w:hAnsi="Times New Roman"/>
          <w:lang w:val="en-GB"/>
        </w:rPr>
        <w:footnoteRef/>
      </w:r>
      <w:r w:rsidRPr="00DC333D">
        <w:rPr>
          <w:rFonts w:ascii="Times New Roman" w:hAnsi="Times New Roman"/>
          <w:lang w:val="en-GB"/>
        </w:rPr>
        <w:t xml:space="preserve"> R. Dehousse, </w:t>
      </w:r>
      <w:r w:rsidRPr="00DC333D">
        <w:rPr>
          <w:rFonts w:ascii="Times New Roman" w:hAnsi="Times New Roman"/>
          <w:i/>
          <w:lang w:val="en-GB"/>
        </w:rPr>
        <w:t>The European Court of Justice: The Politics of Judicial Integration</w:t>
      </w:r>
      <w:r w:rsidRPr="00DC333D">
        <w:rPr>
          <w:rFonts w:ascii="Times New Roman" w:hAnsi="Times New Roman"/>
          <w:lang w:val="en-GB"/>
        </w:rPr>
        <w:t xml:space="preserve"> (London: Macmillan, 1998) at 14.</w:t>
      </w:r>
    </w:p>
  </w:footnote>
  <w:footnote w:id="14">
    <w:p w:rsidR="005E6612" w:rsidRDefault="005E6612" w:rsidP="00DC333D">
      <w:pPr>
        <w:pStyle w:val="Testonotaapidipagina"/>
        <w:jc w:val="both"/>
      </w:pPr>
      <w:r w:rsidRPr="00DC333D">
        <w:rPr>
          <w:rStyle w:val="Rimandonotaapidipagina"/>
          <w:rFonts w:ascii="Times New Roman" w:hAnsi="Times New Roman"/>
          <w:lang w:val="en-GB"/>
        </w:rPr>
        <w:footnoteRef/>
      </w:r>
      <w:r w:rsidRPr="00DC333D">
        <w:rPr>
          <w:rFonts w:ascii="Times New Roman" w:hAnsi="Times New Roman"/>
          <w:lang w:val="en-GB"/>
        </w:rPr>
        <w:t xml:space="preserve"> On the effects of the establishment of the advisory panel, see T. </w:t>
      </w:r>
      <w:r w:rsidRPr="00DC333D">
        <w:rPr>
          <w:rFonts w:ascii="Times New Roman" w:hAnsi="Times New Roman"/>
          <w:bCs/>
          <w:lang w:val="en-GB"/>
        </w:rPr>
        <w:t>Dumbrovský</w:t>
      </w:r>
      <w:r w:rsidRPr="00DC333D">
        <w:rPr>
          <w:rFonts w:ascii="Times New Roman" w:hAnsi="Times New Roman"/>
          <w:lang w:val="en-GB"/>
        </w:rPr>
        <w:t xml:space="preserve">, B. </w:t>
      </w:r>
      <w:r w:rsidRPr="00DC333D">
        <w:rPr>
          <w:rFonts w:ascii="Times New Roman" w:hAnsi="Times New Roman"/>
          <w:bCs/>
          <w:lang w:val="en-GB"/>
        </w:rPr>
        <w:t>Petkova</w:t>
      </w:r>
      <w:r w:rsidRPr="00DC333D">
        <w:rPr>
          <w:rFonts w:ascii="Times New Roman" w:hAnsi="Times New Roman"/>
          <w:lang w:val="en-GB"/>
        </w:rPr>
        <w:t xml:space="preserve">, M. Van Der </w:t>
      </w:r>
      <w:r w:rsidRPr="00DC333D">
        <w:rPr>
          <w:rFonts w:ascii="Times New Roman" w:hAnsi="Times New Roman"/>
          <w:bCs/>
          <w:lang w:val="en-GB"/>
        </w:rPr>
        <w:t>Sluis</w:t>
      </w:r>
      <w:r w:rsidRPr="00DC333D">
        <w:rPr>
          <w:rFonts w:ascii="Times New Roman" w:hAnsi="Times New Roman"/>
          <w:lang w:val="en-GB"/>
        </w:rPr>
        <w:t xml:space="preserve">, ‘Judicial appointments: The Article 255 TFEU Advisory Panel and selection procedures in the Member States’, </w:t>
      </w:r>
      <w:r w:rsidRPr="00DC333D">
        <w:rPr>
          <w:rFonts w:ascii="Times New Roman" w:hAnsi="Times New Roman"/>
          <w:i/>
          <w:iCs/>
          <w:lang w:val="en-GB"/>
        </w:rPr>
        <w:t>Common Market Law Review</w:t>
      </w:r>
      <w:r w:rsidRPr="00DC333D">
        <w:rPr>
          <w:rFonts w:ascii="Times New Roman" w:hAnsi="Times New Roman"/>
          <w:iCs/>
          <w:lang w:val="en-GB"/>
        </w:rPr>
        <w:t>,</w:t>
      </w:r>
      <w:r w:rsidRPr="00DC333D">
        <w:rPr>
          <w:rFonts w:ascii="Times New Roman" w:hAnsi="Times New Roman"/>
          <w:lang w:val="en-GB"/>
        </w:rPr>
        <w:t xml:space="preserve"> 51 (2014), 455–482.</w:t>
      </w:r>
    </w:p>
  </w:footnote>
  <w:footnote w:id="15">
    <w:p w:rsidR="005E6612" w:rsidRDefault="005E6612" w:rsidP="00B27D8E">
      <w:pPr>
        <w:spacing w:after="0" w:line="240" w:lineRule="auto"/>
        <w:jc w:val="both"/>
      </w:pPr>
      <w:r w:rsidRPr="00DC333D">
        <w:rPr>
          <w:rStyle w:val="Rimandonotaapidipagina"/>
          <w:rFonts w:ascii="Times New Roman" w:hAnsi="Times New Roman"/>
          <w:sz w:val="20"/>
          <w:szCs w:val="20"/>
          <w:lang w:val="en-GB"/>
        </w:rPr>
        <w:footnoteRef/>
      </w:r>
      <w:r w:rsidRPr="00DC333D">
        <w:rPr>
          <w:rFonts w:ascii="Times New Roman" w:hAnsi="Times New Roman"/>
          <w:sz w:val="20"/>
          <w:szCs w:val="20"/>
          <w:lang w:val="en-GB"/>
        </w:rPr>
        <w:t xml:space="preserve"> </w:t>
      </w:r>
      <w:r w:rsidRPr="00DC333D">
        <w:rPr>
          <w:rFonts w:ascii="Times New Roman" w:hAnsi="Times New Roman"/>
          <w:bCs/>
          <w:sz w:val="20"/>
          <w:szCs w:val="20"/>
          <w:lang w:val="en-GB"/>
        </w:rPr>
        <w:t xml:space="preserve">D. Chalmers, ‘Judicial Preferences and the Community Legal Order’, </w:t>
      </w:r>
      <w:r w:rsidRPr="00DC333D">
        <w:rPr>
          <w:rFonts w:ascii="Times New Roman" w:hAnsi="Times New Roman"/>
          <w:i/>
          <w:sz w:val="20"/>
          <w:szCs w:val="20"/>
          <w:lang w:val="en-GB"/>
        </w:rPr>
        <w:t>Columbia Journal of European Law</w:t>
      </w:r>
      <w:r w:rsidRPr="00DC333D">
        <w:rPr>
          <w:rFonts w:ascii="Times New Roman" w:hAnsi="Times New Roman"/>
          <w:sz w:val="20"/>
          <w:szCs w:val="20"/>
          <w:lang w:val="en-GB"/>
        </w:rPr>
        <w:t>, 5 (1999) 101</w:t>
      </w:r>
      <w:r w:rsidRPr="00DC333D">
        <w:rPr>
          <w:rFonts w:ascii="Times New Roman" w:hAnsi="Times New Roman"/>
          <w:iCs/>
          <w:sz w:val="20"/>
          <w:szCs w:val="20"/>
          <w:lang w:val="en-GB"/>
        </w:rPr>
        <w:t>–</w:t>
      </w:r>
      <w:r w:rsidRPr="00DC333D">
        <w:rPr>
          <w:rFonts w:ascii="Times New Roman" w:hAnsi="Times New Roman"/>
          <w:sz w:val="20"/>
          <w:szCs w:val="20"/>
          <w:lang w:val="en-GB"/>
        </w:rPr>
        <w:t xml:space="preserve">134, at 168; D. Edwards, ‘How the Court of Justice Works’, </w:t>
      </w:r>
      <w:r w:rsidRPr="00DC333D">
        <w:rPr>
          <w:rFonts w:ascii="Times New Roman" w:hAnsi="Times New Roman"/>
          <w:i/>
          <w:sz w:val="20"/>
          <w:szCs w:val="20"/>
          <w:lang w:val="en-GB"/>
        </w:rPr>
        <w:t>European Law Review</w:t>
      </w:r>
      <w:r w:rsidRPr="00DC333D">
        <w:rPr>
          <w:rFonts w:ascii="Times New Roman" w:hAnsi="Times New Roman"/>
          <w:sz w:val="20"/>
          <w:szCs w:val="20"/>
          <w:lang w:val="en-GB"/>
        </w:rPr>
        <w:t>, 20 (1995), 539</w:t>
      </w:r>
      <w:r w:rsidRPr="00DC333D">
        <w:rPr>
          <w:rFonts w:ascii="Times New Roman" w:hAnsi="Times New Roman"/>
          <w:iCs/>
          <w:sz w:val="20"/>
          <w:szCs w:val="20"/>
          <w:lang w:val="en-GB"/>
        </w:rPr>
        <w:t>–</w:t>
      </w:r>
      <w:r w:rsidRPr="00DC333D">
        <w:rPr>
          <w:rFonts w:ascii="Times New Roman" w:hAnsi="Times New Roman"/>
          <w:sz w:val="20"/>
          <w:szCs w:val="20"/>
          <w:lang w:val="en-GB"/>
        </w:rPr>
        <w:t xml:space="preserve">558, at 556 ff.; </w:t>
      </w:r>
      <w:r w:rsidRPr="00DC333D">
        <w:rPr>
          <w:rFonts w:ascii="Times New Roman" w:hAnsi="Times New Roman"/>
          <w:bCs/>
          <w:sz w:val="20"/>
          <w:szCs w:val="20"/>
          <w:lang w:val="en-GB"/>
        </w:rPr>
        <w:t>J. Bell, ‘</w:t>
      </w:r>
      <w:r w:rsidRPr="00DC333D">
        <w:rPr>
          <w:rFonts w:ascii="Times New Roman" w:hAnsi="Times New Roman"/>
          <w:bCs/>
          <w:iCs/>
          <w:sz w:val="20"/>
          <w:szCs w:val="20"/>
          <w:lang w:val="en-GB"/>
        </w:rPr>
        <w:t>European Perspectives on a Judicial Appointments Commission’</w:t>
      </w:r>
      <w:r w:rsidRPr="00DC333D">
        <w:rPr>
          <w:rFonts w:ascii="Times New Roman" w:hAnsi="Times New Roman"/>
          <w:bCs/>
          <w:sz w:val="20"/>
          <w:szCs w:val="20"/>
          <w:lang w:val="en-GB"/>
        </w:rPr>
        <w:t xml:space="preserve">, </w:t>
      </w:r>
      <w:r w:rsidRPr="00DC333D">
        <w:rPr>
          <w:rFonts w:ascii="Times New Roman" w:hAnsi="Times New Roman"/>
          <w:bCs/>
          <w:i/>
          <w:sz w:val="20"/>
          <w:szCs w:val="20"/>
          <w:lang w:val="en-GB"/>
        </w:rPr>
        <w:t>Cambridge Yearbook of European Legal Studies</w:t>
      </w:r>
      <w:r w:rsidRPr="00DC333D">
        <w:rPr>
          <w:rFonts w:ascii="Times New Roman" w:hAnsi="Times New Roman"/>
          <w:bCs/>
          <w:sz w:val="20"/>
          <w:szCs w:val="20"/>
          <w:lang w:val="en-GB"/>
        </w:rPr>
        <w:t>, 6 (2003</w:t>
      </w:r>
      <w:r w:rsidRPr="00DC333D">
        <w:rPr>
          <w:rFonts w:ascii="Times New Roman" w:hAnsi="Times New Roman"/>
          <w:sz w:val="20"/>
          <w:szCs w:val="20"/>
          <w:lang w:val="en-GB"/>
        </w:rPr>
        <w:t>–</w:t>
      </w:r>
      <w:r w:rsidRPr="00DC333D">
        <w:rPr>
          <w:rFonts w:ascii="Times New Roman" w:hAnsi="Times New Roman"/>
          <w:bCs/>
          <w:sz w:val="20"/>
          <w:szCs w:val="20"/>
          <w:lang w:val="en-GB"/>
        </w:rPr>
        <w:t>2004), 35</w:t>
      </w:r>
      <w:r w:rsidRPr="00D73610">
        <w:rPr>
          <w:rFonts w:ascii="Times New Roman" w:hAnsi="Times New Roman"/>
          <w:sz w:val="20"/>
          <w:szCs w:val="20"/>
          <w:lang w:val="en-GB"/>
        </w:rPr>
        <w:t>–</w:t>
      </w:r>
      <w:r>
        <w:rPr>
          <w:rFonts w:ascii="Times New Roman" w:hAnsi="Times New Roman"/>
          <w:bCs/>
          <w:sz w:val="20"/>
          <w:szCs w:val="20"/>
          <w:lang w:val="en-GB"/>
        </w:rPr>
        <w:t>48</w:t>
      </w:r>
      <w:r w:rsidRPr="00D73610">
        <w:rPr>
          <w:rFonts w:ascii="Times New Roman" w:hAnsi="Times New Roman"/>
          <w:bCs/>
          <w:sz w:val="20"/>
          <w:szCs w:val="20"/>
          <w:lang w:val="en-GB"/>
        </w:rPr>
        <w:t>.</w:t>
      </w:r>
    </w:p>
  </w:footnote>
  <w:footnote w:id="16">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Noteworthy exceptions are S.J. </w:t>
      </w:r>
      <w:bookmarkStart w:id="0" w:name="_GoBack"/>
      <w:r w:rsidRPr="00D73610">
        <w:rPr>
          <w:rFonts w:ascii="Times New Roman" w:hAnsi="Times New Roman"/>
          <w:lang w:val="en-GB"/>
        </w:rPr>
        <w:t>Kenney</w:t>
      </w:r>
      <w:bookmarkEnd w:id="0"/>
      <w:r w:rsidRPr="00D73610">
        <w:rPr>
          <w:rFonts w:ascii="Times New Roman" w:hAnsi="Times New Roman"/>
          <w:lang w:val="en-GB"/>
        </w:rPr>
        <w:t xml:space="preserve">, </w:t>
      </w:r>
      <w:r>
        <w:rPr>
          <w:rFonts w:ascii="Times New Roman" w:hAnsi="Times New Roman"/>
          <w:lang w:val="en-GB"/>
        </w:rPr>
        <w:t>‘</w:t>
      </w:r>
      <w:r w:rsidRPr="00D73610">
        <w:rPr>
          <w:rFonts w:ascii="Times New Roman" w:hAnsi="Times New Roman"/>
          <w:lang w:val="en-GB"/>
        </w:rPr>
        <w:t>The Members of the Court of Justice of the European Communities</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lang w:val="en-GB"/>
        </w:rPr>
        <w:t>Columbia Journal of European Law</w:t>
      </w:r>
      <w:r>
        <w:rPr>
          <w:rFonts w:ascii="Times New Roman" w:hAnsi="Times New Roman"/>
          <w:lang w:val="en-GB"/>
        </w:rPr>
        <w:t>, 5 (</w:t>
      </w:r>
      <w:r w:rsidRPr="00D73610">
        <w:rPr>
          <w:rFonts w:ascii="Times New Roman" w:hAnsi="Times New Roman"/>
          <w:lang w:val="en-GB"/>
        </w:rPr>
        <w:t>1999</w:t>
      </w:r>
      <w:r>
        <w:rPr>
          <w:rFonts w:ascii="Times New Roman" w:hAnsi="Times New Roman"/>
          <w:lang w:val="en-GB"/>
        </w:rPr>
        <w:t>)</w:t>
      </w:r>
      <w:r w:rsidRPr="00D73610">
        <w:rPr>
          <w:rFonts w:ascii="Times New Roman" w:hAnsi="Times New Roman"/>
          <w:lang w:val="en-GB"/>
        </w:rPr>
        <w:t>, 101–134; H. Rasmussen</w:t>
      </w:r>
      <w:r w:rsidR="00CC7606">
        <w:rPr>
          <w:rFonts w:ascii="Times New Roman" w:hAnsi="Times New Roman"/>
          <w:lang w:val="en-GB"/>
        </w:rPr>
        <w:fldChar w:fldCharType="begin"/>
      </w:r>
      <w:r w:rsidRPr="00D73610">
        <w:rPr>
          <w:rFonts w:ascii="Times New Roman" w:hAnsi="Times New Roman"/>
          <w:lang w:val="en-GB"/>
        </w:rPr>
        <w:instrText>xe "Rasmussen, H."</w:instrText>
      </w:r>
      <w:r w:rsidR="00CC7606">
        <w:rPr>
          <w:rFonts w:ascii="Times New Roman" w:hAnsi="Times New Roman"/>
          <w:lang w:val="en-GB"/>
        </w:rPr>
        <w:fldChar w:fldCharType="end"/>
      </w:r>
      <w:r w:rsidRPr="00D73610">
        <w:rPr>
          <w:rFonts w:ascii="Times New Roman" w:hAnsi="Times New Roman"/>
          <w:lang w:val="en-GB"/>
        </w:rPr>
        <w:t xml:space="preserve">, </w:t>
      </w:r>
      <w:r w:rsidRPr="00D73610">
        <w:rPr>
          <w:rFonts w:ascii="Times New Roman" w:hAnsi="Times New Roman"/>
          <w:i/>
          <w:lang w:val="en-GB"/>
        </w:rPr>
        <w:t>On Law and Policy in the European Court of Justice</w:t>
      </w:r>
      <w:r>
        <w:rPr>
          <w:rFonts w:ascii="Times New Roman" w:hAnsi="Times New Roman"/>
          <w:i/>
          <w:lang w:val="en-GB"/>
        </w:rPr>
        <w:t xml:space="preserve">: </w:t>
      </w:r>
      <w:r w:rsidRPr="00D622CF">
        <w:rPr>
          <w:rFonts w:ascii="Times New Roman" w:hAnsi="Times New Roman"/>
          <w:i/>
        </w:rPr>
        <w:t>A Comparative Study</w:t>
      </w:r>
      <w:r>
        <w:rPr>
          <w:rFonts w:ascii="Times New Roman" w:hAnsi="Times New Roman"/>
          <w:lang w:val="en-GB"/>
        </w:rPr>
        <w:t xml:space="preserve"> (Dordrecht: </w:t>
      </w:r>
      <w:r w:rsidRPr="00D73610">
        <w:rPr>
          <w:rFonts w:ascii="Times New Roman" w:hAnsi="Times New Roman"/>
          <w:lang w:val="en-GB"/>
        </w:rPr>
        <w:t>Martinus Nijhoff, 1986</w:t>
      </w:r>
      <w:r>
        <w:rPr>
          <w:rFonts w:ascii="Times New Roman" w:hAnsi="Times New Roman"/>
          <w:lang w:val="en-GB"/>
        </w:rPr>
        <w:t>)</w:t>
      </w:r>
      <w:r w:rsidRPr="00D73610">
        <w:rPr>
          <w:rFonts w:ascii="Times New Roman" w:hAnsi="Times New Roman"/>
          <w:lang w:val="en-GB"/>
        </w:rPr>
        <w:t xml:space="preserve">. Recent legal history has started to investigate the first </w:t>
      </w:r>
      <w:r w:rsidRPr="003D634E">
        <w:rPr>
          <w:rFonts w:ascii="Times New Roman" w:hAnsi="Times New Roman"/>
          <w:lang w:val="en-GB"/>
        </w:rPr>
        <w:t>Court of Justice</w:t>
      </w:r>
      <w:r w:rsidRPr="00D73610">
        <w:rPr>
          <w:rFonts w:ascii="Times New Roman" w:hAnsi="Times New Roman"/>
          <w:lang w:val="en-GB"/>
        </w:rPr>
        <w:t xml:space="preserve">: see e.g. A. Cohen, </w:t>
      </w:r>
      <w:r>
        <w:rPr>
          <w:rFonts w:ascii="Times New Roman" w:hAnsi="Times New Roman"/>
          <w:lang w:val="en-GB"/>
        </w:rPr>
        <w:t>‘</w:t>
      </w:r>
      <w:r w:rsidRPr="00D73610">
        <w:rPr>
          <w:rFonts w:ascii="Times New Roman" w:hAnsi="Times New Roman"/>
          <w:bCs/>
          <w:lang w:val="en-GB"/>
        </w:rPr>
        <w:t>Constitutionalism Without Constitution: Transnational Elites Between Political Mobilization and Legal Expertise in the Making of a Constitution for Europe (1940s</w:t>
      </w:r>
      <w:r w:rsidRPr="00D73610">
        <w:rPr>
          <w:rFonts w:ascii="Times New Roman" w:hAnsi="Times New Roman"/>
          <w:lang w:val="en-GB"/>
        </w:rPr>
        <w:t>−</w:t>
      </w:r>
      <w:r w:rsidRPr="00D73610">
        <w:rPr>
          <w:rFonts w:ascii="Times New Roman" w:hAnsi="Times New Roman"/>
          <w:bCs/>
          <w:lang w:val="en-GB"/>
        </w:rPr>
        <w:t>1960s)</w:t>
      </w:r>
      <w:r>
        <w:rPr>
          <w:rFonts w:ascii="Times New Roman" w:hAnsi="Times New Roman"/>
          <w:bCs/>
          <w:lang w:val="en-GB"/>
        </w:rPr>
        <w:t>’</w:t>
      </w:r>
      <w:r w:rsidRPr="00D73610">
        <w:rPr>
          <w:rFonts w:ascii="Times New Roman" w:hAnsi="Times New Roman"/>
          <w:bCs/>
          <w:lang w:val="en-GB"/>
        </w:rPr>
        <w:t xml:space="preserve">, </w:t>
      </w:r>
      <w:r w:rsidRPr="00D73610">
        <w:rPr>
          <w:rFonts w:ascii="Times New Roman" w:hAnsi="Times New Roman"/>
          <w:i/>
          <w:iCs/>
          <w:lang w:val="en-GB"/>
        </w:rPr>
        <w:t>Law &amp; Social Inquiry</w:t>
      </w:r>
      <w:r>
        <w:rPr>
          <w:rFonts w:ascii="Times New Roman" w:hAnsi="Times New Roman"/>
          <w:iCs/>
          <w:lang w:val="en-GB"/>
        </w:rPr>
        <w:t>, 32 (</w:t>
      </w:r>
      <w:r w:rsidRPr="00D73610">
        <w:rPr>
          <w:rFonts w:ascii="Times New Roman" w:hAnsi="Times New Roman"/>
          <w:iCs/>
          <w:lang w:val="en-GB"/>
        </w:rPr>
        <w:t>2007</w:t>
      </w:r>
      <w:r>
        <w:rPr>
          <w:rFonts w:ascii="Times New Roman" w:hAnsi="Times New Roman"/>
          <w:iCs/>
          <w:lang w:val="en-GB"/>
        </w:rPr>
        <w:t>)</w:t>
      </w:r>
      <w:r w:rsidRPr="00D73610">
        <w:rPr>
          <w:rFonts w:ascii="Times New Roman" w:hAnsi="Times New Roman"/>
          <w:iCs/>
          <w:lang w:val="en-GB"/>
        </w:rPr>
        <w:t>, 109</w:t>
      </w:r>
      <w:r w:rsidRPr="00D73610">
        <w:rPr>
          <w:rFonts w:ascii="Times New Roman" w:hAnsi="Times New Roman"/>
          <w:lang w:val="en-GB"/>
        </w:rPr>
        <w:t>–</w:t>
      </w:r>
      <w:r w:rsidRPr="00D73610">
        <w:rPr>
          <w:rFonts w:ascii="Times New Roman" w:hAnsi="Times New Roman"/>
          <w:iCs/>
          <w:lang w:val="en-GB"/>
        </w:rPr>
        <w:t xml:space="preserve">135; </w:t>
      </w:r>
      <w:r>
        <w:rPr>
          <w:rFonts w:ascii="Times New Roman" w:hAnsi="Times New Roman"/>
          <w:iCs/>
          <w:lang w:val="en-GB"/>
        </w:rPr>
        <w:t xml:space="preserve">issue </w:t>
      </w:r>
      <w:r>
        <w:rPr>
          <w:rFonts w:ascii="Times New Roman" w:hAnsi="Times New Roman"/>
          <w:lang w:val="en-GB"/>
        </w:rPr>
        <w:t xml:space="preserve">14/2 of the </w:t>
      </w:r>
      <w:r w:rsidRPr="00D73610">
        <w:rPr>
          <w:rFonts w:ascii="Times New Roman" w:hAnsi="Times New Roman"/>
          <w:i/>
          <w:iCs/>
          <w:lang w:val="en-GB"/>
        </w:rPr>
        <w:t>Journal of European Integration History</w:t>
      </w:r>
      <w:r>
        <w:rPr>
          <w:rFonts w:ascii="Times New Roman" w:hAnsi="Times New Roman"/>
          <w:i/>
          <w:iCs/>
          <w:lang w:val="en-GB"/>
        </w:rPr>
        <w:t xml:space="preserve"> </w:t>
      </w:r>
      <w:r>
        <w:rPr>
          <w:rFonts w:ascii="Times New Roman" w:hAnsi="Times New Roman"/>
          <w:lang w:val="en-GB"/>
        </w:rPr>
        <w:t>(</w:t>
      </w:r>
      <w:r w:rsidRPr="00D73610">
        <w:rPr>
          <w:rFonts w:ascii="Times New Roman" w:hAnsi="Times New Roman"/>
          <w:lang w:val="en-GB"/>
        </w:rPr>
        <w:t>2008</w:t>
      </w:r>
      <w:r>
        <w:rPr>
          <w:rFonts w:ascii="Times New Roman" w:hAnsi="Times New Roman"/>
          <w:lang w:val="en-GB"/>
        </w:rPr>
        <w:t>)</w:t>
      </w:r>
      <w:r>
        <w:rPr>
          <w:rFonts w:ascii="Times New Roman" w:hAnsi="Times New Roman"/>
          <w:iCs/>
          <w:lang w:val="en-GB"/>
        </w:rPr>
        <w:t xml:space="preserve">, co-ordinated by </w:t>
      </w:r>
      <w:r w:rsidRPr="00D73610">
        <w:rPr>
          <w:rFonts w:ascii="Times New Roman" w:hAnsi="Times New Roman"/>
          <w:iCs/>
          <w:lang w:val="en-GB"/>
        </w:rPr>
        <w:t>N.P. Ludlow</w:t>
      </w:r>
      <w:r w:rsidRPr="00D73610">
        <w:rPr>
          <w:rFonts w:ascii="Times New Roman" w:hAnsi="Times New Roman"/>
          <w:lang w:val="en-GB"/>
        </w:rPr>
        <w:t>.</w:t>
      </w:r>
    </w:p>
  </w:footnote>
  <w:footnote w:id="17">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M. Shapiro, </w:t>
      </w:r>
      <w:r>
        <w:rPr>
          <w:rFonts w:ascii="Times New Roman" w:hAnsi="Times New Roman"/>
          <w:lang w:val="en-GB"/>
        </w:rPr>
        <w:t>‘</w:t>
      </w:r>
      <w:r w:rsidRPr="00D73610">
        <w:rPr>
          <w:rFonts w:ascii="Times New Roman" w:hAnsi="Times New Roman"/>
          <w:lang w:val="en-GB"/>
        </w:rPr>
        <w:t>Comparative Law and Comparative Politics</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lang w:val="en-GB"/>
        </w:rPr>
        <w:t>Southern California Law Review</w:t>
      </w:r>
      <w:r>
        <w:rPr>
          <w:rFonts w:ascii="Times New Roman" w:hAnsi="Times New Roman"/>
          <w:lang w:val="en-GB"/>
        </w:rPr>
        <w:t>, 53 (</w:t>
      </w:r>
      <w:r w:rsidRPr="00D73610">
        <w:rPr>
          <w:rFonts w:ascii="Times New Roman" w:hAnsi="Times New Roman"/>
          <w:lang w:val="en-GB"/>
        </w:rPr>
        <w:t>1980</w:t>
      </w:r>
      <w:r>
        <w:rPr>
          <w:rFonts w:ascii="Times New Roman" w:hAnsi="Times New Roman"/>
          <w:lang w:val="en-GB"/>
        </w:rPr>
        <w:t>)</w:t>
      </w:r>
      <w:r w:rsidRPr="00D73610">
        <w:rPr>
          <w:rFonts w:ascii="Times New Roman" w:hAnsi="Times New Roman"/>
          <w:lang w:val="en-GB"/>
        </w:rPr>
        <w:t>, 537–542,</w:t>
      </w:r>
      <w:r>
        <w:rPr>
          <w:rFonts w:ascii="Times New Roman" w:hAnsi="Times New Roman"/>
          <w:lang w:val="en-GB"/>
        </w:rPr>
        <w:t xml:space="preserve"> at </w:t>
      </w:r>
      <w:r w:rsidRPr="00D73610">
        <w:rPr>
          <w:rFonts w:ascii="Times New Roman" w:hAnsi="Times New Roman"/>
          <w:lang w:val="en-GB"/>
        </w:rPr>
        <w:t xml:space="preserve">540. </w:t>
      </w:r>
    </w:p>
  </w:footnote>
  <w:footnote w:id="18">
    <w:p w:rsidR="005E6612" w:rsidRDefault="005E6612" w:rsidP="00B27D8E">
      <w:pPr>
        <w:pStyle w:val="Testonotaapidipagina"/>
        <w:jc w:val="both"/>
      </w:pPr>
      <w:r w:rsidRPr="00D73610">
        <w:rPr>
          <w:rStyle w:val="Rimandonotaapidipagina"/>
          <w:rFonts w:ascii="Times New Roman" w:hAnsi="Times New Roman"/>
          <w:lang w:val="en-GB"/>
        </w:rPr>
        <w:footnoteRef/>
      </w:r>
      <w:r w:rsidRPr="00CD0778">
        <w:rPr>
          <w:rFonts w:ascii="Times New Roman" w:hAnsi="Times New Roman"/>
          <w:lang w:val="es-ES"/>
        </w:rPr>
        <w:t xml:space="preserve"> </w:t>
      </w:r>
      <w:r w:rsidRPr="00CD0778">
        <w:rPr>
          <w:rFonts w:ascii="Times New Roman" w:hAnsi="Times New Roman"/>
          <w:bCs/>
          <w:lang w:val="es-ES"/>
        </w:rPr>
        <w:t xml:space="preserve">Case C-17/98, </w:t>
      </w:r>
      <w:r w:rsidRPr="00CD0778">
        <w:rPr>
          <w:rFonts w:ascii="Times New Roman" w:hAnsi="Times New Roman"/>
          <w:bCs/>
          <w:i/>
          <w:lang w:val="es-ES"/>
        </w:rPr>
        <w:t>Emesa Sugar</w:t>
      </w:r>
      <w:r w:rsidRPr="00CD0778">
        <w:rPr>
          <w:rFonts w:ascii="Times New Roman" w:hAnsi="Times New Roman"/>
          <w:bCs/>
          <w:lang w:val="es-ES"/>
        </w:rPr>
        <w:t xml:space="preserve"> </w:t>
      </w:r>
      <w:r w:rsidRPr="00CD0778">
        <w:rPr>
          <w:rFonts w:ascii="Times New Roman" w:hAnsi="Times New Roman"/>
          <w:lang w:val="es-ES"/>
        </w:rPr>
        <w:t xml:space="preserve">[2000] ECR I-665, para. </w:t>
      </w:r>
      <w:r w:rsidRPr="00D73610">
        <w:rPr>
          <w:rFonts w:ascii="Times New Roman" w:hAnsi="Times New Roman"/>
          <w:lang w:val="en-GB"/>
        </w:rPr>
        <w:t xml:space="preserve">11. See also Article 6 Rules of Procedure: </w:t>
      </w:r>
      <w:r>
        <w:rPr>
          <w:rFonts w:ascii="Times New Roman" w:hAnsi="Times New Roman"/>
          <w:lang w:val="en-GB"/>
        </w:rPr>
        <w:t>‘</w:t>
      </w:r>
      <w:r w:rsidRPr="00D73610">
        <w:rPr>
          <w:rFonts w:ascii="Times New Roman" w:hAnsi="Times New Roman"/>
          <w:lang w:val="en-GB"/>
        </w:rPr>
        <w:t>Judges and Advocates General shall rank equally in precedence according to their seniority in office</w:t>
      </w:r>
      <w:r>
        <w:rPr>
          <w:rFonts w:ascii="Times New Roman" w:hAnsi="Times New Roman"/>
          <w:lang w:val="en-GB"/>
        </w:rPr>
        <w:t>’</w:t>
      </w:r>
      <w:r w:rsidRPr="00D73610">
        <w:rPr>
          <w:rFonts w:ascii="Times New Roman" w:hAnsi="Times New Roman"/>
          <w:lang w:val="en-GB"/>
        </w:rPr>
        <w:t>.</w:t>
      </w:r>
    </w:p>
  </w:footnote>
  <w:footnote w:id="19">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For an assessment, see T. Tridimas, </w:t>
      </w:r>
      <w:r>
        <w:rPr>
          <w:rFonts w:ascii="Times New Roman" w:hAnsi="Times New Roman"/>
          <w:lang w:val="en-GB"/>
        </w:rPr>
        <w:t>‘</w:t>
      </w:r>
      <w:r w:rsidRPr="00D73610">
        <w:rPr>
          <w:rFonts w:ascii="Times New Roman" w:hAnsi="Times New Roman"/>
          <w:lang w:val="en-GB"/>
        </w:rPr>
        <w:t>The Role of the Advocate General in the Development of Community Law: Some Reflections</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lang w:val="en-GB"/>
        </w:rPr>
        <w:t>Common Market Law Review</w:t>
      </w:r>
      <w:r>
        <w:rPr>
          <w:rFonts w:ascii="Times New Roman" w:hAnsi="Times New Roman"/>
          <w:lang w:val="en-GB"/>
        </w:rPr>
        <w:t>, 34 (</w:t>
      </w:r>
      <w:r w:rsidRPr="00D73610">
        <w:rPr>
          <w:rFonts w:ascii="Times New Roman" w:hAnsi="Times New Roman"/>
          <w:lang w:val="en-GB"/>
        </w:rPr>
        <w:t>1997</w:t>
      </w:r>
      <w:r>
        <w:rPr>
          <w:rFonts w:ascii="Times New Roman" w:hAnsi="Times New Roman"/>
          <w:lang w:val="en-GB"/>
        </w:rPr>
        <w:t>)</w:t>
      </w:r>
      <w:r w:rsidRPr="00D73610">
        <w:rPr>
          <w:rFonts w:ascii="Times New Roman" w:hAnsi="Times New Roman"/>
          <w:lang w:val="en-GB"/>
        </w:rPr>
        <w:t xml:space="preserve">, 1349–1387; C. Ritter, </w:t>
      </w:r>
      <w:r>
        <w:rPr>
          <w:rFonts w:ascii="Times New Roman" w:hAnsi="Times New Roman"/>
          <w:lang w:val="en-GB"/>
        </w:rPr>
        <w:t>‘</w:t>
      </w:r>
      <w:r w:rsidRPr="00D73610">
        <w:rPr>
          <w:rFonts w:ascii="Times New Roman" w:hAnsi="Times New Roman"/>
          <w:lang w:val="en-GB"/>
        </w:rPr>
        <w:t xml:space="preserve">A </w:t>
      </w:r>
      <w:r w:rsidRPr="00D73610">
        <w:rPr>
          <w:rFonts w:ascii="Times New Roman" w:hAnsi="Times New Roman"/>
          <w:bCs/>
          <w:lang w:val="en-GB"/>
        </w:rPr>
        <w:t xml:space="preserve">New Look at the Role and Impact of Advocates-General </w:t>
      </w:r>
      <w:r w:rsidRPr="00E1066F">
        <w:rPr>
          <w:rFonts w:ascii="Times New Roman" w:hAnsi="Times New Roman"/>
          <w:bCs/>
          <w:lang w:val="en-GB"/>
        </w:rPr>
        <w:t>–</w:t>
      </w:r>
      <w:r w:rsidRPr="00D73610">
        <w:rPr>
          <w:rFonts w:ascii="Times New Roman" w:hAnsi="Times New Roman"/>
          <w:bCs/>
          <w:lang w:val="en-GB"/>
        </w:rPr>
        <w:t xml:space="preserve"> Collectively and Individually</w:t>
      </w:r>
      <w:r>
        <w:rPr>
          <w:rFonts w:ascii="Times New Roman" w:hAnsi="Times New Roman"/>
          <w:bCs/>
          <w:lang w:val="en-GB"/>
        </w:rPr>
        <w:t>’</w:t>
      </w:r>
      <w:r w:rsidRPr="00D73610">
        <w:rPr>
          <w:rFonts w:ascii="Times New Roman" w:hAnsi="Times New Roman"/>
          <w:bCs/>
          <w:lang w:val="en-GB"/>
        </w:rPr>
        <w:t xml:space="preserve">, </w:t>
      </w:r>
      <w:r w:rsidRPr="00D73610">
        <w:rPr>
          <w:rFonts w:ascii="Times New Roman" w:hAnsi="Times New Roman"/>
          <w:bCs/>
          <w:i/>
          <w:iCs/>
          <w:lang w:val="en-GB"/>
        </w:rPr>
        <w:t>Columbia Journal of European Law</w:t>
      </w:r>
      <w:r>
        <w:rPr>
          <w:rFonts w:ascii="Times New Roman" w:hAnsi="Times New Roman"/>
          <w:bCs/>
          <w:iCs/>
          <w:lang w:val="en-GB"/>
        </w:rPr>
        <w:t>, 12 (</w:t>
      </w:r>
      <w:r w:rsidRPr="00D73610">
        <w:rPr>
          <w:rFonts w:ascii="Times New Roman" w:hAnsi="Times New Roman"/>
          <w:bCs/>
          <w:iCs/>
          <w:lang w:val="en-GB"/>
        </w:rPr>
        <w:t>2006</w:t>
      </w:r>
      <w:r>
        <w:rPr>
          <w:rFonts w:ascii="Times New Roman" w:hAnsi="Times New Roman"/>
          <w:bCs/>
          <w:iCs/>
          <w:lang w:val="en-GB"/>
        </w:rPr>
        <w:t>),</w:t>
      </w:r>
      <w:r w:rsidRPr="00D73610">
        <w:rPr>
          <w:rFonts w:ascii="Times New Roman" w:hAnsi="Times New Roman"/>
          <w:bCs/>
          <w:iCs/>
          <w:lang w:val="en-GB"/>
        </w:rPr>
        <w:t xml:space="preserve"> 751</w:t>
      </w:r>
      <w:r w:rsidRPr="00D73610">
        <w:rPr>
          <w:rFonts w:ascii="Times New Roman" w:hAnsi="Times New Roman"/>
          <w:lang w:val="en-GB"/>
        </w:rPr>
        <w:t>–</w:t>
      </w:r>
      <w:r w:rsidRPr="00D73610">
        <w:rPr>
          <w:rFonts w:ascii="Times New Roman" w:hAnsi="Times New Roman"/>
          <w:bCs/>
          <w:lang w:val="en-GB"/>
        </w:rPr>
        <w:t>773</w:t>
      </w:r>
      <w:r w:rsidRPr="00D73610">
        <w:rPr>
          <w:rFonts w:ascii="Times New Roman" w:hAnsi="Times New Roman"/>
          <w:lang w:val="en-GB"/>
        </w:rPr>
        <w:t>.</w:t>
      </w:r>
    </w:p>
  </w:footnote>
  <w:footnote w:id="20">
    <w:p w:rsidR="005E6612" w:rsidRDefault="005E6612" w:rsidP="00B27D8E">
      <w:pPr>
        <w:spacing w:after="0"/>
        <w:jc w:val="both"/>
      </w:pPr>
      <w:r w:rsidRPr="00550AFF">
        <w:rPr>
          <w:rStyle w:val="Rimandonotaapidipagina"/>
          <w:rFonts w:ascii="Times New Roman" w:hAnsi="Times New Roman"/>
          <w:sz w:val="20"/>
          <w:szCs w:val="20"/>
          <w:lang w:val="en-GB"/>
        </w:rPr>
        <w:footnoteRef/>
      </w:r>
      <w:r w:rsidRPr="00550AFF">
        <w:rPr>
          <w:rFonts w:ascii="Times New Roman" w:hAnsi="Times New Roman"/>
          <w:sz w:val="20"/>
          <w:szCs w:val="20"/>
          <w:lang w:val="en-GB"/>
        </w:rPr>
        <w:t xml:space="preserve"> </w:t>
      </w:r>
      <w:r w:rsidRPr="009E75F9">
        <w:rPr>
          <w:rFonts w:ascii="Times New Roman" w:hAnsi="Times New Roman"/>
          <w:sz w:val="20"/>
          <w:szCs w:val="20"/>
          <w:lang w:val="en-GB"/>
        </w:rPr>
        <w:t>13 references in eight judgments</w:t>
      </w:r>
      <w:r w:rsidRPr="00550AFF">
        <w:rPr>
          <w:rFonts w:ascii="Times New Roman" w:hAnsi="Times New Roman"/>
          <w:sz w:val="20"/>
          <w:szCs w:val="20"/>
          <w:lang w:val="en-GB"/>
        </w:rPr>
        <w:t xml:space="preserve">: </w:t>
      </w:r>
      <w:r w:rsidRPr="00550AFF">
        <w:rPr>
          <w:rFonts w:ascii="Times New Roman" w:hAnsi="Times New Roman"/>
          <w:bCs/>
          <w:i/>
          <w:sz w:val="20"/>
          <w:szCs w:val="20"/>
          <w:lang w:val="en-GB"/>
        </w:rPr>
        <w:t>Antonissen</w:t>
      </w:r>
      <w:r w:rsidRPr="00550AFF">
        <w:rPr>
          <w:rFonts w:ascii="Times New Roman" w:hAnsi="Times New Roman"/>
          <w:bCs/>
          <w:iCs/>
          <w:sz w:val="20"/>
          <w:szCs w:val="20"/>
          <w:lang w:val="en-GB"/>
        </w:rPr>
        <w:t xml:space="preserve"> [1991], para. </w:t>
      </w:r>
      <w:r w:rsidRPr="00CD0778">
        <w:rPr>
          <w:rFonts w:ascii="Times New Roman" w:hAnsi="Times New Roman"/>
          <w:bCs/>
          <w:iCs/>
          <w:sz w:val="20"/>
          <w:szCs w:val="20"/>
          <w:lang w:val="es-ES"/>
        </w:rPr>
        <w:t xml:space="preserve">20; </w:t>
      </w:r>
      <w:r w:rsidRPr="00CD0778">
        <w:rPr>
          <w:rFonts w:ascii="Times New Roman" w:hAnsi="Times New Roman"/>
          <w:i/>
          <w:sz w:val="20"/>
          <w:szCs w:val="20"/>
          <w:lang w:val="es-ES"/>
        </w:rPr>
        <w:t xml:space="preserve">Brasserie du Pêcheur </w:t>
      </w:r>
      <w:r w:rsidRPr="00CD0778">
        <w:rPr>
          <w:rFonts w:ascii="Times New Roman" w:hAnsi="Times New Roman"/>
          <w:iCs/>
          <w:sz w:val="20"/>
          <w:szCs w:val="20"/>
          <w:lang w:val="es-ES"/>
        </w:rPr>
        <w:t xml:space="preserve">[1996], para. 34; </w:t>
      </w:r>
      <w:r w:rsidRPr="00CD0778">
        <w:rPr>
          <w:rFonts w:ascii="Times New Roman" w:hAnsi="Times New Roman"/>
          <w:bCs/>
          <w:i/>
          <w:sz w:val="20"/>
          <w:szCs w:val="20"/>
          <w:lang w:val="es-ES"/>
        </w:rPr>
        <w:t>Bosman</w:t>
      </w:r>
      <w:r w:rsidRPr="00CD0778">
        <w:rPr>
          <w:rFonts w:ascii="Times New Roman" w:hAnsi="Times New Roman"/>
          <w:bCs/>
          <w:iCs/>
          <w:sz w:val="20"/>
          <w:szCs w:val="20"/>
          <w:lang w:val="es-ES"/>
        </w:rPr>
        <w:t xml:space="preserve"> [1995], para. 53, 99 and 110; </w:t>
      </w:r>
      <w:r w:rsidRPr="009E75F9">
        <w:rPr>
          <w:rFonts w:ascii="Times New Roman" w:hAnsi="Times New Roman"/>
          <w:bCs/>
          <w:i/>
          <w:iCs/>
          <w:sz w:val="20"/>
          <w:szCs w:val="20"/>
          <w:lang w:val="es-ES"/>
        </w:rPr>
        <w:t xml:space="preserve">Schmidberger </w:t>
      </w:r>
      <w:r w:rsidRPr="009E75F9">
        <w:rPr>
          <w:rFonts w:ascii="Times New Roman" w:hAnsi="Times New Roman"/>
          <w:bCs/>
          <w:iCs/>
          <w:sz w:val="20"/>
          <w:szCs w:val="20"/>
          <w:lang w:val="es-ES"/>
        </w:rPr>
        <w:t>[2003]</w:t>
      </w:r>
      <w:r>
        <w:rPr>
          <w:rFonts w:ascii="Times New Roman" w:hAnsi="Times New Roman"/>
          <w:bCs/>
          <w:iCs/>
          <w:sz w:val="20"/>
          <w:szCs w:val="20"/>
          <w:lang w:val="es-ES"/>
        </w:rPr>
        <w:t>,</w:t>
      </w:r>
      <w:r w:rsidRPr="009E75F9">
        <w:rPr>
          <w:rFonts w:ascii="Times New Roman" w:hAnsi="Times New Roman"/>
          <w:bCs/>
          <w:iCs/>
          <w:sz w:val="20"/>
          <w:szCs w:val="20"/>
          <w:lang w:val="es-ES"/>
        </w:rPr>
        <w:t xml:space="preserve"> para. 66; </w:t>
      </w:r>
      <w:r w:rsidRPr="009E75F9">
        <w:rPr>
          <w:rFonts w:ascii="Times New Roman" w:hAnsi="Times New Roman"/>
          <w:bCs/>
          <w:i/>
          <w:iCs/>
          <w:sz w:val="20"/>
          <w:szCs w:val="20"/>
          <w:lang w:val="es-ES"/>
        </w:rPr>
        <w:t>Omega</w:t>
      </w:r>
      <w:r w:rsidRPr="009E75F9">
        <w:rPr>
          <w:rFonts w:ascii="Times New Roman" w:hAnsi="Times New Roman"/>
          <w:bCs/>
          <w:iCs/>
          <w:sz w:val="20"/>
          <w:szCs w:val="20"/>
          <w:lang w:val="es-ES"/>
        </w:rPr>
        <w:t xml:space="preserve"> [2004]</w:t>
      </w:r>
      <w:r>
        <w:rPr>
          <w:rFonts w:ascii="Times New Roman" w:hAnsi="Times New Roman"/>
          <w:bCs/>
          <w:iCs/>
          <w:sz w:val="20"/>
          <w:szCs w:val="20"/>
          <w:lang w:val="es-ES"/>
        </w:rPr>
        <w:t>,</w:t>
      </w:r>
      <w:r w:rsidRPr="009E75F9">
        <w:rPr>
          <w:rFonts w:ascii="Times New Roman" w:hAnsi="Times New Roman"/>
          <w:bCs/>
          <w:iCs/>
          <w:sz w:val="20"/>
          <w:szCs w:val="20"/>
          <w:lang w:val="es-ES"/>
        </w:rPr>
        <w:t xml:space="preserve"> para. 27 and 34;</w:t>
      </w:r>
      <w:r w:rsidRPr="00CD0778">
        <w:rPr>
          <w:rFonts w:ascii="Times New Roman" w:hAnsi="Times New Roman"/>
          <w:bCs/>
          <w:iCs/>
          <w:sz w:val="20"/>
          <w:szCs w:val="20"/>
          <w:lang w:val="es-ES"/>
        </w:rPr>
        <w:t xml:space="preserve"> </w:t>
      </w:r>
      <w:r w:rsidRPr="00CD0778">
        <w:rPr>
          <w:rFonts w:ascii="Times New Roman" w:hAnsi="Times New Roman"/>
          <w:i/>
          <w:sz w:val="20"/>
          <w:szCs w:val="20"/>
          <w:lang w:val="es-ES"/>
        </w:rPr>
        <w:t>Köbler</w:t>
      </w:r>
      <w:r w:rsidRPr="00CD0778">
        <w:rPr>
          <w:rFonts w:ascii="Times New Roman" w:hAnsi="Times New Roman"/>
          <w:iCs/>
          <w:sz w:val="20"/>
          <w:szCs w:val="20"/>
          <w:lang w:val="es-ES"/>
        </w:rPr>
        <w:t xml:space="preserve"> [2003], para. </w:t>
      </w:r>
      <w:r w:rsidRPr="00550AFF">
        <w:rPr>
          <w:rFonts w:ascii="Times New Roman" w:hAnsi="Times New Roman"/>
          <w:iCs/>
          <w:sz w:val="20"/>
          <w:szCs w:val="20"/>
          <w:lang w:val="en-GB"/>
        </w:rPr>
        <w:t xml:space="preserve">48; </w:t>
      </w:r>
      <w:r w:rsidRPr="00550AFF">
        <w:rPr>
          <w:rFonts w:ascii="Times New Roman" w:hAnsi="Times New Roman"/>
          <w:bCs/>
          <w:i/>
          <w:iCs/>
          <w:sz w:val="20"/>
          <w:szCs w:val="20"/>
          <w:lang w:val="en-GB"/>
        </w:rPr>
        <w:t>Pupino</w:t>
      </w:r>
      <w:r w:rsidRPr="00550AFF">
        <w:rPr>
          <w:rFonts w:ascii="Times New Roman" w:hAnsi="Times New Roman"/>
          <w:bCs/>
          <w:sz w:val="20"/>
          <w:szCs w:val="20"/>
          <w:lang w:val="en-GB"/>
        </w:rPr>
        <w:t xml:space="preserve"> [2005], para. 42 and 48; </w:t>
      </w:r>
      <w:r w:rsidRPr="00550AFF">
        <w:rPr>
          <w:rFonts w:ascii="Times New Roman" w:hAnsi="Times New Roman"/>
          <w:i/>
          <w:iCs/>
          <w:sz w:val="20"/>
          <w:szCs w:val="20"/>
          <w:lang w:val="en-GB"/>
        </w:rPr>
        <w:t xml:space="preserve">Mangold </w:t>
      </w:r>
      <w:r>
        <w:rPr>
          <w:rFonts w:ascii="Times New Roman" w:hAnsi="Times New Roman"/>
          <w:sz w:val="20"/>
          <w:szCs w:val="20"/>
          <w:lang w:val="en-GB"/>
        </w:rPr>
        <w:t>[2005], para. 53 and 73</w:t>
      </w:r>
      <w:r w:rsidRPr="00791DB2">
        <w:rPr>
          <w:rFonts w:ascii="Times New Roman" w:hAnsi="Times New Roman"/>
          <w:sz w:val="20"/>
          <w:szCs w:val="20"/>
          <w:lang w:val="en-GB"/>
        </w:rPr>
        <w:t>.</w:t>
      </w:r>
    </w:p>
  </w:footnote>
  <w:footnote w:id="21">
    <w:p w:rsidR="005E6612" w:rsidRDefault="005E6612" w:rsidP="00B27D8E">
      <w:pPr>
        <w:pStyle w:val="Testonotaapidipagina"/>
        <w:jc w:val="both"/>
      </w:pPr>
      <w:r w:rsidRPr="00791DB2">
        <w:rPr>
          <w:rStyle w:val="Rimandonotaapidipagina"/>
          <w:rFonts w:ascii="Times New Roman" w:hAnsi="Times New Roman"/>
          <w:lang w:val="en-GB"/>
        </w:rPr>
        <w:footnoteRef/>
      </w:r>
      <w:r w:rsidRPr="00791DB2">
        <w:rPr>
          <w:rFonts w:ascii="Times New Roman" w:hAnsi="Times New Roman"/>
          <w:lang w:val="en-GB"/>
        </w:rPr>
        <w:t xml:space="preserve"> M. de S.-O.-L’E. Lasser, </w:t>
      </w:r>
      <w:r w:rsidRPr="00791DB2">
        <w:rPr>
          <w:rFonts w:ascii="Times New Roman" w:hAnsi="Times New Roman"/>
          <w:i/>
          <w:lang w:val="en-GB"/>
        </w:rPr>
        <w:t>Judicial Deliberations</w:t>
      </w:r>
      <w:r>
        <w:rPr>
          <w:rFonts w:ascii="Times New Roman" w:hAnsi="Times New Roman"/>
          <w:i/>
          <w:lang w:val="en-GB"/>
        </w:rPr>
        <w:t>: A Comparative Analysis of Judicial Transparency and Legitimacy</w:t>
      </w:r>
      <w:r>
        <w:rPr>
          <w:rFonts w:ascii="Times New Roman" w:hAnsi="Times New Roman"/>
          <w:lang w:val="en-GB"/>
        </w:rPr>
        <w:t xml:space="preserve"> (</w:t>
      </w:r>
      <w:r w:rsidRPr="00791DB2">
        <w:rPr>
          <w:rFonts w:ascii="Times New Roman" w:hAnsi="Times New Roman"/>
          <w:lang w:val="en-GB"/>
        </w:rPr>
        <w:t>Oxford</w:t>
      </w:r>
      <w:r>
        <w:rPr>
          <w:rFonts w:ascii="Times New Roman" w:hAnsi="Times New Roman"/>
          <w:lang w:val="en-GB"/>
        </w:rPr>
        <w:t xml:space="preserve"> University </w:t>
      </w:r>
      <w:r w:rsidRPr="00791DB2">
        <w:rPr>
          <w:rFonts w:ascii="Times New Roman" w:hAnsi="Times New Roman"/>
          <w:lang w:val="en-GB"/>
        </w:rPr>
        <w:t>P</w:t>
      </w:r>
      <w:r>
        <w:rPr>
          <w:rFonts w:ascii="Times New Roman" w:hAnsi="Times New Roman"/>
          <w:lang w:val="en-GB"/>
        </w:rPr>
        <w:t>ress</w:t>
      </w:r>
      <w:r w:rsidRPr="00791DB2">
        <w:rPr>
          <w:rFonts w:ascii="Times New Roman" w:hAnsi="Times New Roman"/>
          <w:lang w:val="en-GB"/>
        </w:rPr>
        <w:t>, 2004</w:t>
      </w:r>
      <w:r>
        <w:rPr>
          <w:rFonts w:ascii="Times New Roman" w:hAnsi="Times New Roman"/>
          <w:lang w:val="en-GB"/>
        </w:rPr>
        <w:t>)</w:t>
      </w:r>
      <w:r w:rsidRPr="00791DB2">
        <w:rPr>
          <w:rFonts w:ascii="Times New Roman" w:hAnsi="Times New Roman"/>
          <w:lang w:val="en-GB"/>
        </w:rPr>
        <w:t xml:space="preserve">, </w:t>
      </w:r>
      <w:r>
        <w:rPr>
          <w:rFonts w:ascii="Times New Roman" w:hAnsi="Times New Roman"/>
          <w:lang w:val="en-GB"/>
        </w:rPr>
        <w:t xml:space="preserve">at </w:t>
      </w:r>
      <w:r w:rsidRPr="00791DB2">
        <w:rPr>
          <w:rFonts w:ascii="Times New Roman" w:hAnsi="Times New Roman"/>
          <w:lang w:val="en-GB"/>
        </w:rPr>
        <w:t>141</w:t>
      </w:r>
      <w:r>
        <w:rPr>
          <w:rFonts w:ascii="Times New Roman" w:hAnsi="Times New Roman"/>
          <w:lang w:val="en-GB"/>
        </w:rPr>
        <w:t>: ‘t</w:t>
      </w:r>
      <w:r w:rsidRPr="00D622CF">
        <w:rPr>
          <w:rFonts w:ascii="Times New Roman" w:hAnsi="Times New Roman"/>
          <w:lang w:val="en-GB"/>
        </w:rPr>
        <w:t>he Court of Justice produces two argumentative modes. In the sphere of the Court of Justice’s official judicial decision operates the discourse of the magisterial and deductive application of EU law ... In the sphere of the [Advocates Generals</w:t>
      </w:r>
      <w:r>
        <w:rPr>
          <w:rFonts w:ascii="Times New Roman" w:hAnsi="Times New Roman"/>
          <w:lang w:val="en-GB"/>
        </w:rPr>
        <w:t>’</w:t>
      </w:r>
      <w:r w:rsidRPr="00D622CF">
        <w:rPr>
          <w:rFonts w:ascii="Times New Roman" w:hAnsi="Times New Roman"/>
          <w:lang w:val="en-GB"/>
        </w:rPr>
        <w:t>]</w:t>
      </w:r>
      <w:r>
        <w:rPr>
          <w:rFonts w:ascii="Times New Roman" w:hAnsi="Times New Roman"/>
          <w:lang w:val="en-GB"/>
        </w:rPr>
        <w:t xml:space="preserve"> </w:t>
      </w:r>
      <w:r w:rsidRPr="00D622CF">
        <w:rPr>
          <w:rFonts w:ascii="Times New Roman" w:hAnsi="Times New Roman"/>
          <w:lang w:val="en-GB"/>
        </w:rPr>
        <w:t>Opinions ... operates the discourse of the personal and subjective construction of purposive judicial solutions</w:t>
      </w:r>
      <w:r>
        <w:rPr>
          <w:rFonts w:ascii="Times New Roman" w:hAnsi="Times New Roman"/>
          <w:lang w:val="en-GB"/>
        </w:rPr>
        <w:t>’</w:t>
      </w:r>
      <w:r w:rsidRPr="00791DB2">
        <w:rPr>
          <w:rFonts w:ascii="Times New Roman" w:hAnsi="Times New Roman"/>
          <w:lang w:val="en-GB"/>
        </w:rPr>
        <w:t>.</w:t>
      </w:r>
    </w:p>
  </w:footnote>
  <w:footnote w:id="22">
    <w:p w:rsidR="005E6612" w:rsidRDefault="005E6612" w:rsidP="00B27D8E">
      <w:pPr>
        <w:pStyle w:val="Testonotaapidipagina"/>
        <w:jc w:val="both"/>
      </w:pPr>
      <w:r w:rsidRPr="00791DB2">
        <w:rPr>
          <w:rStyle w:val="Rimandonotaapidipagina"/>
          <w:rFonts w:ascii="Times New Roman" w:hAnsi="Times New Roman"/>
          <w:lang w:val="en-GB"/>
        </w:rPr>
        <w:footnoteRef/>
      </w:r>
      <w:r w:rsidRPr="00CD0778">
        <w:rPr>
          <w:rFonts w:ascii="Times New Roman" w:hAnsi="Times New Roman"/>
          <w:lang w:val="es-ES"/>
        </w:rPr>
        <w:t xml:space="preserve"> </w:t>
      </w:r>
      <w:r w:rsidRPr="00CD0778">
        <w:rPr>
          <w:rFonts w:ascii="Times New Roman" w:hAnsi="Times New Roman"/>
          <w:i/>
          <w:iCs/>
          <w:lang w:val="es-ES"/>
        </w:rPr>
        <w:t>Les Verts</w:t>
      </w:r>
      <w:r w:rsidRPr="00CD0778">
        <w:rPr>
          <w:rFonts w:ascii="Times New Roman" w:hAnsi="Times New Roman"/>
          <w:lang w:val="es-ES"/>
        </w:rPr>
        <w:t xml:space="preserve"> [1986], para. 23; </w:t>
      </w:r>
      <w:r w:rsidRPr="00CD0778">
        <w:rPr>
          <w:rFonts w:ascii="Times New Roman" w:hAnsi="Times New Roman"/>
          <w:bCs/>
          <w:lang w:val="es-ES"/>
        </w:rPr>
        <w:t xml:space="preserve">Opinion 1/91 [1991], para. </w:t>
      </w:r>
      <w:r w:rsidRPr="00791DB2">
        <w:rPr>
          <w:rFonts w:ascii="Times New Roman" w:hAnsi="Times New Roman"/>
          <w:bCs/>
          <w:lang w:val="en-GB"/>
        </w:rPr>
        <w:t xml:space="preserve">21; </w:t>
      </w:r>
      <w:r w:rsidRPr="00791DB2">
        <w:rPr>
          <w:rFonts w:ascii="Times New Roman" w:hAnsi="Times New Roman"/>
          <w:i/>
          <w:lang w:val="en-GB"/>
        </w:rPr>
        <w:t>Kadi</w:t>
      </w:r>
      <w:r w:rsidRPr="00791DB2">
        <w:rPr>
          <w:rFonts w:ascii="Times New Roman" w:hAnsi="Times New Roman"/>
          <w:lang w:val="en-GB"/>
        </w:rPr>
        <w:t xml:space="preserve"> [2008], </w:t>
      </w:r>
      <w:r>
        <w:rPr>
          <w:rFonts w:ascii="Times New Roman" w:hAnsi="Times New Roman"/>
          <w:lang w:val="en-GB"/>
        </w:rPr>
        <w:t>para.</w:t>
      </w:r>
      <w:r w:rsidRPr="00791DB2">
        <w:rPr>
          <w:rFonts w:ascii="Times New Roman" w:hAnsi="Times New Roman"/>
          <w:lang w:val="en-GB"/>
        </w:rPr>
        <w:t xml:space="preserve"> 281.</w:t>
      </w:r>
    </w:p>
  </w:footnote>
  <w:footnote w:id="23">
    <w:p w:rsidR="005E6612" w:rsidRDefault="005E6612" w:rsidP="00B27D8E">
      <w:pPr>
        <w:spacing w:after="0" w:line="240" w:lineRule="auto"/>
        <w:jc w:val="both"/>
      </w:pPr>
      <w:r w:rsidRPr="00791DB2">
        <w:rPr>
          <w:rStyle w:val="Rimandonotaapidipagina"/>
          <w:rFonts w:ascii="Times New Roman" w:hAnsi="Times New Roman"/>
          <w:sz w:val="20"/>
          <w:szCs w:val="20"/>
        </w:rPr>
        <w:footnoteRef/>
      </w:r>
      <w:r w:rsidRPr="00C13CDF">
        <w:rPr>
          <w:rFonts w:ascii="Times New Roman" w:hAnsi="Times New Roman"/>
          <w:sz w:val="20"/>
          <w:szCs w:val="20"/>
          <w:lang w:val="en-GB"/>
        </w:rPr>
        <w:t xml:space="preserve"> </w:t>
      </w:r>
      <w:r w:rsidRPr="00791DB2">
        <w:rPr>
          <w:rFonts w:ascii="Times New Roman" w:hAnsi="Times New Roman"/>
          <w:sz w:val="20"/>
          <w:szCs w:val="20"/>
          <w:lang w:val="hu-HU"/>
        </w:rPr>
        <w:t xml:space="preserve">It is doubtful whether the methods adopted by the </w:t>
      </w:r>
      <w:r w:rsidRPr="003D634E">
        <w:rPr>
          <w:rFonts w:ascii="Times New Roman" w:hAnsi="Times New Roman"/>
          <w:sz w:val="20"/>
          <w:szCs w:val="20"/>
          <w:lang w:val="hu-HU"/>
        </w:rPr>
        <w:t>Court of Justice</w:t>
      </w:r>
      <w:r w:rsidRPr="00791DB2">
        <w:rPr>
          <w:rFonts w:ascii="Times New Roman" w:hAnsi="Times New Roman"/>
          <w:sz w:val="20"/>
          <w:szCs w:val="20"/>
          <w:lang w:val="hu-HU"/>
        </w:rPr>
        <w:t xml:space="preserve"> for interpreting the Treaties are different from the those adopted for interpreting </w:t>
      </w:r>
      <w:r w:rsidRPr="00791DB2">
        <w:rPr>
          <w:rFonts w:ascii="Times New Roman" w:hAnsi="Times New Roman"/>
          <w:sz w:val="20"/>
          <w:szCs w:val="20"/>
          <w:lang w:val="en-GB"/>
        </w:rPr>
        <w:t xml:space="preserve">secondary </w:t>
      </w:r>
      <w:r>
        <w:rPr>
          <w:rFonts w:ascii="Times New Roman" w:hAnsi="Times New Roman"/>
          <w:sz w:val="20"/>
          <w:szCs w:val="20"/>
          <w:lang w:val="en-GB"/>
        </w:rPr>
        <w:t>law. While K. Lenaerts, ‘</w:t>
      </w:r>
      <w:r w:rsidRPr="00791DB2">
        <w:rPr>
          <w:rFonts w:ascii="Times New Roman" w:hAnsi="Times New Roman"/>
          <w:bCs/>
          <w:sz w:val="20"/>
          <w:szCs w:val="20"/>
          <w:lang w:val="en-GB"/>
        </w:rPr>
        <w:t>Interpretation and the Court of Justice:</w:t>
      </w:r>
      <w:r w:rsidRPr="00791DB2">
        <w:rPr>
          <w:rFonts w:ascii="Times New Roman" w:hAnsi="Times New Roman"/>
          <w:sz w:val="20"/>
          <w:szCs w:val="20"/>
          <w:lang w:val="en-GB"/>
        </w:rPr>
        <w:t> A Basis for Comparative Reflection</w:t>
      </w:r>
      <w:r>
        <w:rPr>
          <w:rFonts w:ascii="Times New Roman" w:hAnsi="Times New Roman"/>
          <w:sz w:val="20"/>
          <w:szCs w:val="20"/>
          <w:lang w:val="en-GB"/>
        </w:rPr>
        <w:t>’</w:t>
      </w:r>
      <w:r w:rsidRPr="00791DB2">
        <w:rPr>
          <w:rFonts w:ascii="Times New Roman" w:hAnsi="Times New Roman"/>
          <w:sz w:val="20"/>
          <w:szCs w:val="20"/>
          <w:lang w:val="en-GB"/>
        </w:rPr>
        <w:t xml:space="preserve">, </w:t>
      </w:r>
      <w:r w:rsidRPr="00791DB2">
        <w:rPr>
          <w:rFonts w:ascii="Times New Roman" w:hAnsi="Times New Roman"/>
          <w:i/>
          <w:sz w:val="20"/>
          <w:szCs w:val="20"/>
          <w:lang w:val="en-GB"/>
        </w:rPr>
        <w:t>The International Lawyer</w:t>
      </w:r>
      <w:r>
        <w:rPr>
          <w:rFonts w:ascii="Times New Roman" w:hAnsi="Times New Roman"/>
          <w:sz w:val="20"/>
          <w:szCs w:val="20"/>
          <w:lang w:val="en-GB"/>
        </w:rPr>
        <w:t>, 41</w:t>
      </w:r>
      <w:r w:rsidRPr="00791DB2">
        <w:rPr>
          <w:rFonts w:ascii="Times New Roman" w:hAnsi="Times New Roman"/>
          <w:sz w:val="20"/>
          <w:szCs w:val="20"/>
          <w:lang w:val="en-GB"/>
        </w:rPr>
        <w:t xml:space="preserve"> </w:t>
      </w:r>
      <w:r>
        <w:rPr>
          <w:rFonts w:ascii="Times New Roman" w:hAnsi="Times New Roman"/>
          <w:sz w:val="20"/>
          <w:szCs w:val="20"/>
          <w:lang w:val="en-GB"/>
        </w:rPr>
        <w:t>(</w:t>
      </w:r>
      <w:r w:rsidRPr="00791DB2">
        <w:rPr>
          <w:rFonts w:ascii="Times New Roman" w:hAnsi="Times New Roman"/>
          <w:sz w:val="20"/>
          <w:szCs w:val="20"/>
          <w:lang w:val="en-GB"/>
        </w:rPr>
        <w:t>2007</w:t>
      </w:r>
      <w:r>
        <w:rPr>
          <w:rFonts w:ascii="Times New Roman" w:hAnsi="Times New Roman"/>
          <w:sz w:val="20"/>
          <w:szCs w:val="20"/>
          <w:lang w:val="en-GB"/>
        </w:rPr>
        <w:t>)</w:t>
      </w:r>
      <w:r w:rsidRPr="00791DB2">
        <w:rPr>
          <w:rFonts w:ascii="Times New Roman" w:hAnsi="Times New Roman"/>
          <w:sz w:val="20"/>
          <w:szCs w:val="20"/>
          <w:lang w:val="en-GB"/>
        </w:rPr>
        <w:t xml:space="preserve">,  1011–1032, denies the existence of any significant difference, it seems that </w:t>
      </w:r>
      <w:r>
        <w:rPr>
          <w:rFonts w:ascii="Times New Roman" w:hAnsi="Times New Roman"/>
          <w:sz w:val="20"/>
          <w:szCs w:val="20"/>
          <w:lang w:val="en-GB"/>
        </w:rPr>
        <w:t xml:space="preserve">references to precedents </w:t>
      </w:r>
      <w:r w:rsidRPr="00791DB2">
        <w:rPr>
          <w:rFonts w:ascii="Times New Roman" w:hAnsi="Times New Roman"/>
          <w:sz w:val="20"/>
          <w:szCs w:val="20"/>
          <w:lang w:val="en-GB"/>
        </w:rPr>
        <w:t xml:space="preserve">play a more prominent role in the interpretation of </w:t>
      </w:r>
      <w:r>
        <w:rPr>
          <w:rFonts w:ascii="Times New Roman" w:hAnsi="Times New Roman"/>
          <w:sz w:val="20"/>
          <w:szCs w:val="20"/>
          <w:lang w:val="en-GB"/>
        </w:rPr>
        <w:t xml:space="preserve">primary </w:t>
      </w:r>
      <w:r w:rsidRPr="00791DB2">
        <w:rPr>
          <w:rFonts w:ascii="Times New Roman" w:hAnsi="Times New Roman"/>
          <w:sz w:val="20"/>
          <w:szCs w:val="20"/>
          <w:lang w:val="en-GB"/>
        </w:rPr>
        <w:t xml:space="preserve">law than </w:t>
      </w:r>
      <w:r>
        <w:rPr>
          <w:rFonts w:ascii="Times New Roman" w:hAnsi="Times New Roman"/>
          <w:sz w:val="20"/>
          <w:szCs w:val="20"/>
          <w:lang w:val="en-GB"/>
        </w:rPr>
        <w:t xml:space="preserve">they </w:t>
      </w:r>
      <w:r w:rsidRPr="00791DB2">
        <w:rPr>
          <w:rFonts w:ascii="Times New Roman" w:hAnsi="Times New Roman"/>
          <w:sz w:val="20"/>
          <w:szCs w:val="20"/>
          <w:lang w:val="en-GB"/>
        </w:rPr>
        <w:t>do in the interpretation of secondary law</w:t>
      </w:r>
      <w:r>
        <w:rPr>
          <w:rFonts w:ascii="Times New Roman" w:hAnsi="Times New Roman"/>
          <w:sz w:val="20"/>
          <w:szCs w:val="20"/>
          <w:lang w:val="en-GB"/>
        </w:rPr>
        <w:t xml:space="preserve">, as </w:t>
      </w:r>
      <w:r w:rsidRPr="00791DB2">
        <w:rPr>
          <w:rFonts w:ascii="Times New Roman" w:hAnsi="Times New Roman"/>
          <w:sz w:val="20"/>
          <w:szCs w:val="20"/>
          <w:lang w:val="en-GB"/>
        </w:rPr>
        <w:t>the latter is more easily amended</w:t>
      </w:r>
      <w:r>
        <w:rPr>
          <w:rFonts w:ascii="Times New Roman" w:hAnsi="Times New Roman"/>
          <w:sz w:val="20"/>
          <w:szCs w:val="20"/>
          <w:lang w:val="en-GB"/>
        </w:rPr>
        <w:t xml:space="preserve"> by the legislator </w:t>
      </w:r>
      <w:r w:rsidRPr="00791DB2">
        <w:rPr>
          <w:rFonts w:ascii="Times New Roman" w:hAnsi="Times New Roman"/>
          <w:sz w:val="20"/>
          <w:szCs w:val="20"/>
          <w:lang w:val="en-GB"/>
        </w:rPr>
        <w:t>(</w:t>
      </w:r>
      <w:r>
        <w:rPr>
          <w:rFonts w:ascii="Times New Roman" w:hAnsi="Times New Roman"/>
          <w:bCs/>
          <w:sz w:val="20"/>
          <w:szCs w:val="20"/>
          <w:lang w:val="en-GB"/>
        </w:rPr>
        <w:t>P. Dann, ‘</w:t>
      </w:r>
      <w:r w:rsidRPr="00791DB2">
        <w:rPr>
          <w:rFonts w:ascii="Times New Roman" w:hAnsi="Times New Roman"/>
          <w:bCs/>
          <w:sz w:val="20"/>
          <w:szCs w:val="20"/>
          <w:lang w:val="en-GB"/>
        </w:rPr>
        <w:t>Thoughts on a Methodology of European Constitutional Law</w:t>
      </w:r>
      <w:r>
        <w:rPr>
          <w:rFonts w:ascii="Times New Roman" w:hAnsi="Times New Roman"/>
          <w:bCs/>
          <w:sz w:val="20"/>
          <w:szCs w:val="20"/>
          <w:lang w:val="en-GB"/>
        </w:rPr>
        <w:t>’</w:t>
      </w:r>
      <w:r w:rsidRPr="00791DB2">
        <w:rPr>
          <w:rFonts w:ascii="Times New Roman" w:hAnsi="Times New Roman"/>
          <w:bCs/>
          <w:sz w:val="20"/>
          <w:szCs w:val="20"/>
          <w:lang w:val="en-GB"/>
        </w:rPr>
        <w:t xml:space="preserve">, </w:t>
      </w:r>
      <w:r w:rsidRPr="00791DB2">
        <w:rPr>
          <w:rFonts w:ascii="Times New Roman" w:hAnsi="Times New Roman"/>
          <w:bCs/>
          <w:i/>
          <w:sz w:val="20"/>
          <w:szCs w:val="20"/>
          <w:lang w:val="en-GB"/>
        </w:rPr>
        <w:t>German Law Journal</w:t>
      </w:r>
      <w:r w:rsidRPr="00791DB2">
        <w:rPr>
          <w:rFonts w:ascii="Times New Roman" w:hAnsi="Times New Roman"/>
          <w:bCs/>
          <w:sz w:val="20"/>
          <w:szCs w:val="20"/>
          <w:lang w:val="en-GB"/>
        </w:rPr>
        <w:t>, 6/11</w:t>
      </w:r>
      <w:r>
        <w:rPr>
          <w:rFonts w:ascii="Times New Roman" w:hAnsi="Times New Roman"/>
          <w:bCs/>
          <w:sz w:val="20"/>
          <w:szCs w:val="20"/>
          <w:lang w:val="en-GB"/>
        </w:rPr>
        <w:t xml:space="preserve"> (</w:t>
      </w:r>
      <w:r w:rsidRPr="00791DB2">
        <w:rPr>
          <w:rFonts w:ascii="Times New Roman" w:hAnsi="Times New Roman"/>
          <w:bCs/>
          <w:sz w:val="20"/>
          <w:szCs w:val="20"/>
          <w:lang w:val="en-GB"/>
        </w:rPr>
        <w:t>2006</w:t>
      </w:r>
      <w:r>
        <w:rPr>
          <w:rFonts w:ascii="Times New Roman" w:hAnsi="Times New Roman"/>
          <w:bCs/>
          <w:sz w:val="20"/>
          <w:szCs w:val="20"/>
          <w:lang w:val="en-GB"/>
        </w:rPr>
        <w:t>),</w:t>
      </w:r>
      <w:r w:rsidRPr="00791DB2">
        <w:rPr>
          <w:rFonts w:ascii="Times New Roman" w:hAnsi="Times New Roman"/>
          <w:bCs/>
          <w:sz w:val="20"/>
          <w:szCs w:val="20"/>
          <w:lang w:val="en-GB"/>
        </w:rPr>
        <w:t xml:space="preserve"> 1453-1474, </w:t>
      </w:r>
      <w:r>
        <w:rPr>
          <w:rFonts w:ascii="Times New Roman" w:hAnsi="Times New Roman"/>
          <w:bCs/>
          <w:sz w:val="20"/>
          <w:szCs w:val="20"/>
          <w:lang w:val="en-GB"/>
        </w:rPr>
        <w:t xml:space="preserve">at </w:t>
      </w:r>
      <w:r w:rsidRPr="00791DB2">
        <w:rPr>
          <w:rFonts w:ascii="Times New Roman" w:hAnsi="Times New Roman"/>
          <w:bCs/>
          <w:sz w:val="20"/>
          <w:szCs w:val="20"/>
          <w:lang w:val="en-GB"/>
        </w:rPr>
        <w:t>1462 f</w:t>
      </w:r>
      <w:r w:rsidRPr="00791DB2">
        <w:rPr>
          <w:rFonts w:ascii="Times New Roman" w:hAnsi="Times New Roman"/>
          <w:sz w:val="20"/>
          <w:szCs w:val="20"/>
          <w:lang w:val="en-GB"/>
        </w:rPr>
        <w:t>).</w:t>
      </w:r>
      <w:r>
        <w:rPr>
          <w:rFonts w:ascii="Times New Roman" w:hAnsi="Times New Roman"/>
          <w:sz w:val="20"/>
          <w:szCs w:val="20"/>
          <w:lang w:val="en-GB"/>
        </w:rPr>
        <w:t xml:space="preserve"> Moreover, for the reasons explained below, subjective teleological arguments are likely to be less common in the interpretation of the Treaties than they are in the interpretation of secondary legislation. </w:t>
      </w:r>
    </w:p>
  </w:footnote>
  <w:footnote w:id="24">
    <w:p w:rsidR="005E6612" w:rsidRDefault="005E6612" w:rsidP="00D85E7D">
      <w:pPr>
        <w:pStyle w:val="Testonotaapidipagina"/>
        <w:jc w:val="both"/>
      </w:pPr>
      <w:r w:rsidRPr="008D19EB">
        <w:rPr>
          <w:rStyle w:val="Rimandonotaapidipagina"/>
          <w:rFonts w:ascii="Times New Roman" w:hAnsi="Times New Roman"/>
        </w:rPr>
        <w:footnoteRef/>
      </w:r>
      <w:r w:rsidRPr="008D19EB">
        <w:rPr>
          <w:rFonts w:ascii="Times New Roman" w:hAnsi="Times New Roman"/>
        </w:rPr>
        <w:t xml:space="preserve"> E.g. </w:t>
      </w:r>
      <w:r w:rsidRPr="008D19EB">
        <w:rPr>
          <w:rFonts w:ascii="Times New Roman" w:hAnsi="Times New Roman"/>
          <w:i/>
          <w:iCs/>
          <w:lang w:val="es-ES"/>
        </w:rPr>
        <w:t>Stauder</w:t>
      </w:r>
      <w:r w:rsidRPr="008D19EB">
        <w:rPr>
          <w:rFonts w:ascii="Times New Roman" w:hAnsi="Times New Roman"/>
          <w:lang w:val="es-ES"/>
        </w:rPr>
        <w:t xml:space="preserve"> [1969]</w:t>
      </w:r>
      <w:r>
        <w:rPr>
          <w:rFonts w:ascii="Times New Roman" w:hAnsi="Times New Roman"/>
          <w:lang w:val="es-ES"/>
        </w:rPr>
        <w:t xml:space="preserve">: </w:t>
      </w:r>
      <w:r w:rsidRPr="00011EFE">
        <w:rPr>
          <w:rFonts w:ascii="Times New Roman" w:hAnsi="Times New Roman"/>
          <w:lang w:val="en-GB"/>
        </w:rPr>
        <w:t>the Court provide</w:t>
      </w:r>
      <w:r>
        <w:rPr>
          <w:rFonts w:ascii="Times New Roman" w:hAnsi="Times New Roman"/>
          <w:lang w:val="en-GB"/>
        </w:rPr>
        <w:t>s</w:t>
      </w:r>
      <w:r w:rsidRPr="00011EFE">
        <w:rPr>
          <w:rFonts w:ascii="Times New Roman" w:hAnsi="Times New Roman"/>
          <w:lang w:val="en-GB"/>
        </w:rPr>
        <w:t xml:space="preserve"> several arguments </w:t>
      </w:r>
      <w:r w:rsidRPr="00011EFE">
        <w:rPr>
          <w:rFonts w:ascii="Times New Roman" w:hAnsi="Times New Roman"/>
          <w:iCs/>
          <w:lang w:val="en-GB"/>
        </w:rPr>
        <w:t>of non-constitutional interpretation directed to showing that ‘interpreted in this way the provision at issue contains nothing capable of prejudicing the fundamental human rights’</w:t>
      </w:r>
      <w:r>
        <w:rPr>
          <w:rFonts w:ascii="Times New Roman" w:hAnsi="Times New Roman"/>
          <w:iCs/>
          <w:lang w:val="en-GB"/>
        </w:rPr>
        <w:t xml:space="preserve">, but </w:t>
      </w:r>
      <w:r w:rsidRPr="00011EFE">
        <w:rPr>
          <w:rFonts w:ascii="Times New Roman" w:hAnsi="Times New Roman"/>
          <w:iCs/>
          <w:lang w:val="en-GB"/>
        </w:rPr>
        <w:t xml:space="preserve">with regard to </w:t>
      </w:r>
      <w:r>
        <w:rPr>
          <w:rFonts w:ascii="Times New Roman" w:hAnsi="Times New Roman"/>
          <w:iCs/>
          <w:lang w:val="en-GB"/>
        </w:rPr>
        <w:t xml:space="preserve">the </w:t>
      </w:r>
      <w:r w:rsidRPr="00011EFE">
        <w:rPr>
          <w:rFonts w:ascii="Times New Roman" w:hAnsi="Times New Roman"/>
          <w:iCs/>
          <w:lang w:val="en-GB"/>
        </w:rPr>
        <w:t>interpretation</w:t>
      </w:r>
      <w:r>
        <w:rPr>
          <w:rFonts w:ascii="Times New Roman" w:hAnsi="Times New Roman"/>
          <w:iCs/>
          <w:lang w:val="en-GB"/>
        </w:rPr>
        <w:t xml:space="preserve"> of the Treaties it </w:t>
      </w:r>
      <w:r>
        <w:rPr>
          <w:rFonts w:ascii="Times New Roman" w:hAnsi="Times New Roman"/>
          <w:lang w:val="en-GB"/>
        </w:rPr>
        <w:t>limits</w:t>
      </w:r>
      <w:r w:rsidRPr="00011EFE">
        <w:rPr>
          <w:rFonts w:ascii="Times New Roman" w:hAnsi="Times New Roman"/>
          <w:lang w:val="en-GB"/>
        </w:rPr>
        <w:t xml:space="preserve"> itself to stating that ‘</w:t>
      </w:r>
      <w:r w:rsidRPr="00011EFE">
        <w:rPr>
          <w:rFonts w:ascii="Times New Roman" w:hAnsi="Times New Roman"/>
          <w:iCs/>
          <w:lang w:val="en-GB"/>
        </w:rPr>
        <w:t>fundamental human rights [are] enshrined in the general principles of Community law</w:t>
      </w:r>
      <w:r>
        <w:rPr>
          <w:rFonts w:ascii="Times New Roman" w:hAnsi="Times New Roman"/>
          <w:iCs/>
          <w:lang w:val="en-GB"/>
        </w:rPr>
        <w:t>’</w:t>
      </w:r>
      <w:r w:rsidRPr="00011EFE">
        <w:rPr>
          <w:rFonts w:ascii="Times New Roman" w:hAnsi="Times New Roman"/>
          <w:iCs/>
          <w:lang w:val="en-GB"/>
        </w:rPr>
        <w:t xml:space="preserve"> </w:t>
      </w:r>
      <w:r>
        <w:rPr>
          <w:rFonts w:ascii="Times New Roman" w:hAnsi="Times New Roman"/>
          <w:iCs/>
          <w:lang w:val="en-GB"/>
        </w:rPr>
        <w:t xml:space="preserve">(para. 7) </w:t>
      </w:r>
      <w:r w:rsidRPr="00011EFE">
        <w:rPr>
          <w:rFonts w:ascii="Times New Roman" w:hAnsi="Times New Roman"/>
          <w:iCs/>
          <w:lang w:val="en-GB"/>
        </w:rPr>
        <w:t xml:space="preserve">without providing any </w:t>
      </w:r>
      <w:r>
        <w:rPr>
          <w:rFonts w:ascii="Times New Roman" w:hAnsi="Times New Roman"/>
          <w:iCs/>
          <w:lang w:val="en-GB"/>
        </w:rPr>
        <w:t xml:space="preserve">recognisable </w:t>
      </w:r>
      <w:r w:rsidRPr="00011EFE">
        <w:rPr>
          <w:rFonts w:ascii="Times New Roman" w:hAnsi="Times New Roman"/>
          <w:iCs/>
          <w:lang w:val="en-GB"/>
        </w:rPr>
        <w:t>argument</w:t>
      </w:r>
      <w:r>
        <w:rPr>
          <w:rFonts w:ascii="Times New Roman" w:hAnsi="Times New Roman"/>
          <w:iCs/>
          <w:lang w:val="en-GB"/>
        </w:rPr>
        <w:t>.</w:t>
      </w:r>
    </w:p>
  </w:footnote>
  <w:footnote w:id="25">
    <w:p w:rsidR="005E6612" w:rsidRDefault="005E6612" w:rsidP="00D85E7D">
      <w:pPr>
        <w:spacing w:after="0" w:line="240" w:lineRule="auto"/>
        <w:jc w:val="both"/>
      </w:pPr>
      <w:r w:rsidRPr="00791DB2">
        <w:rPr>
          <w:rStyle w:val="Rimandonotaapidipagina"/>
          <w:rFonts w:ascii="Times New Roman" w:hAnsi="Times New Roman"/>
          <w:sz w:val="20"/>
          <w:szCs w:val="20"/>
          <w:lang w:val="en-GB"/>
        </w:rPr>
        <w:footnoteRef/>
      </w:r>
      <w:r w:rsidRPr="00B27D8E">
        <w:rPr>
          <w:rFonts w:ascii="Times New Roman" w:hAnsi="Times New Roman"/>
          <w:sz w:val="20"/>
          <w:szCs w:val="20"/>
          <w:lang w:val="es-ES"/>
        </w:rPr>
        <w:t xml:space="preserve"> E.g. </w:t>
      </w:r>
      <w:r w:rsidRPr="00B27D8E">
        <w:rPr>
          <w:rFonts w:ascii="Times New Roman" w:hAnsi="Times New Roman"/>
          <w:bCs/>
          <w:i/>
          <w:noProof/>
          <w:sz w:val="20"/>
          <w:szCs w:val="20"/>
          <w:lang w:val="es-ES"/>
        </w:rPr>
        <w:t>CILFIT</w:t>
      </w:r>
      <w:r w:rsidRPr="00B27D8E">
        <w:rPr>
          <w:rFonts w:ascii="Times New Roman" w:hAnsi="Times New Roman"/>
          <w:bCs/>
          <w:iCs/>
          <w:noProof/>
          <w:sz w:val="20"/>
          <w:szCs w:val="20"/>
          <w:lang w:val="es-ES"/>
        </w:rPr>
        <w:t xml:space="preserve"> [1982], para. </w:t>
      </w:r>
      <w:r w:rsidRPr="00791DB2">
        <w:rPr>
          <w:rFonts w:ascii="Times New Roman" w:hAnsi="Times New Roman"/>
          <w:bCs/>
          <w:iCs/>
          <w:noProof/>
          <w:sz w:val="20"/>
          <w:szCs w:val="20"/>
          <w:lang w:val="en-GB"/>
        </w:rPr>
        <w:t>21 (</w:t>
      </w:r>
      <w:r>
        <w:rPr>
          <w:rFonts w:ascii="Times New Roman" w:hAnsi="Times New Roman"/>
          <w:bCs/>
          <w:iCs/>
          <w:noProof/>
          <w:sz w:val="20"/>
          <w:szCs w:val="20"/>
          <w:lang w:val="en-GB"/>
        </w:rPr>
        <w:t>‘</w:t>
      </w:r>
      <w:r w:rsidRPr="00791DB2">
        <w:rPr>
          <w:rFonts w:ascii="Times New Roman" w:hAnsi="Times New Roman"/>
          <w:iCs/>
          <w:noProof/>
          <w:sz w:val="20"/>
          <w:szCs w:val="20"/>
          <w:lang w:val="en-GB"/>
        </w:rPr>
        <w:t>In the light of all those considerations, the answer to the question … must be that…</w:t>
      </w:r>
      <w:r>
        <w:rPr>
          <w:rFonts w:ascii="Times New Roman" w:hAnsi="Times New Roman"/>
          <w:iCs/>
          <w:noProof/>
          <w:sz w:val="20"/>
          <w:szCs w:val="20"/>
          <w:lang w:val="en-GB"/>
        </w:rPr>
        <w:t>’</w:t>
      </w:r>
      <w:r w:rsidRPr="00791DB2">
        <w:rPr>
          <w:rFonts w:ascii="Times New Roman" w:hAnsi="Times New Roman"/>
          <w:iCs/>
          <w:noProof/>
          <w:sz w:val="20"/>
          <w:szCs w:val="20"/>
          <w:lang w:val="en-GB"/>
        </w:rPr>
        <w:t xml:space="preserve">); </w:t>
      </w:r>
      <w:r w:rsidRPr="00791DB2">
        <w:rPr>
          <w:rFonts w:ascii="Times New Roman" w:hAnsi="Times New Roman"/>
          <w:bCs/>
          <w:i/>
          <w:noProof/>
          <w:sz w:val="20"/>
          <w:szCs w:val="20"/>
          <w:lang w:val="en-GB"/>
        </w:rPr>
        <w:t>Foto-Frost</w:t>
      </w:r>
      <w:r w:rsidRPr="00791DB2">
        <w:rPr>
          <w:rFonts w:ascii="Times New Roman" w:hAnsi="Times New Roman"/>
          <w:bCs/>
          <w:iCs/>
          <w:noProof/>
          <w:sz w:val="20"/>
          <w:szCs w:val="20"/>
          <w:lang w:val="en-GB"/>
        </w:rPr>
        <w:t xml:space="preserve"> [1987], </w:t>
      </w:r>
      <w:r>
        <w:rPr>
          <w:rFonts w:ascii="Times New Roman" w:hAnsi="Times New Roman"/>
          <w:bCs/>
          <w:iCs/>
          <w:noProof/>
          <w:sz w:val="20"/>
          <w:szCs w:val="20"/>
          <w:lang w:val="en-GB"/>
        </w:rPr>
        <w:t>para.</w:t>
      </w:r>
      <w:r w:rsidRPr="00791DB2">
        <w:rPr>
          <w:rFonts w:ascii="Times New Roman" w:hAnsi="Times New Roman"/>
          <w:bCs/>
          <w:iCs/>
          <w:noProof/>
          <w:sz w:val="20"/>
          <w:szCs w:val="20"/>
          <w:lang w:val="en-GB"/>
        </w:rPr>
        <w:t xml:space="preserve"> 18 (</w:t>
      </w:r>
      <w:r>
        <w:rPr>
          <w:rFonts w:ascii="Times New Roman" w:hAnsi="Times New Roman"/>
          <w:bCs/>
          <w:iCs/>
          <w:noProof/>
          <w:sz w:val="20"/>
          <w:szCs w:val="20"/>
          <w:lang w:val="en-GB"/>
        </w:rPr>
        <w:t>‘</w:t>
      </w:r>
      <w:r w:rsidRPr="00791DB2">
        <w:rPr>
          <w:rFonts w:ascii="Times New Roman" w:hAnsi="Times New Roman"/>
          <w:bCs/>
          <w:iCs/>
          <w:noProof/>
          <w:sz w:val="20"/>
          <w:szCs w:val="20"/>
          <w:lang w:val="en-GB"/>
        </w:rPr>
        <w:t>It must also be emphasized that…</w:t>
      </w:r>
      <w:r>
        <w:rPr>
          <w:rFonts w:ascii="Times New Roman" w:hAnsi="Times New Roman"/>
          <w:bCs/>
          <w:iCs/>
          <w:noProof/>
          <w:sz w:val="20"/>
          <w:szCs w:val="20"/>
          <w:lang w:val="en-GB"/>
        </w:rPr>
        <w:t>’</w:t>
      </w:r>
      <w:r w:rsidRPr="00791DB2">
        <w:rPr>
          <w:rFonts w:ascii="Times New Roman" w:hAnsi="Times New Roman"/>
          <w:bCs/>
          <w:iCs/>
          <w:noProof/>
          <w:sz w:val="20"/>
          <w:szCs w:val="20"/>
          <w:lang w:val="en-GB"/>
        </w:rPr>
        <w:t xml:space="preserve">); </w:t>
      </w:r>
      <w:r w:rsidRPr="00791DB2">
        <w:rPr>
          <w:rFonts w:ascii="Times New Roman" w:hAnsi="Times New Roman"/>
          <w:i/>
          <w:iCs/>
          <w:sz w:val="20"/>
          <w:szCs w:val="20"/>
          <w:lang w:val="en-GB"/>
        </w:rPr>
        <w:t>Factortame</w:t>
      </w:r>
      <w:r w:rsidRPr="00791DB2">
        <w:rPr>
          <w:rFonts w:ascii="Times New Roman" w:hAnsi="Times New Roman"/>
          <w:sz w:val="20"/>
          <w:szCs w:val="20"/>
          <w:lang w:val="en-GB"/>
        </w:rPr>
        <w:t xml:space="preserve"> [1990], </w:t>
      </w:r>
      <w:r>
        <w:rPr>
          <w:rFonts w:ascii="Times New Roman" w:hAnsi="Times New Roman"/>
          <w:sz w:val="20"/>
          <w:szCs w:val="20"/>
          <w:lang w:val="en-GB"/>
        </w:rPr>
        <w:t>para.</w:t>
      </w:r>
      <w:r w:rsidRPr="00791DB2">
        <w:rPr>
          <w:rFonts w:ascii="Times New Roman" w:hAnsi="Times New Roman"/>
          <w:sz w:val="20"/>
          <w:szCs w:val="20"/>
          <w:lang w:val="en-GB"/>
        </w:rPr>
        <w:t xml:space="preserve"> 22 (</w:t>
      </w:r>
      <w:r>
        <w:rPr>
          <w:rFonts w:ascii="Times New Roman" w:hAnsi="Times New Roman"/>
          <w:sz w:val="20"/>
          <w:szCs w:val="20"/>
          <w:lang w:val="en-GB"/>
        </w:rPr>
        <w:t>‘</w:t>
      </w:r>
      <w:r w:rsidRPr="00791DB2">
        <w:rPr>
          <w:rFonts w:ascii="Times New Roman" w:hAnsi="Times New Roman"/>
          <w:iCs/>
          <w:sz w:val="20"/>
          <w:szCs w:val="20"/>
          <w:lang w:val="en-GB"/>
        </w:rPr>
        <w:t>That interpretation is reinforced by the system established by Article 177</w:t>
      </w:r>
      <w:r>
        <w:rPr>
          <w:rFonts w:ascii="Times New Roman" w:hAnsi="Times New Roman"/>
          <w:iCs/>
          <w:sz w:val="20"/>
          <w:szCs w:val="20"/>
          <w:lang w:val="en-GB"/>
        </w:rPr>
        <w:t>’</w:t>
      </w:r>
      <w:r w:rsidRPr="00791DB2">
        <w:rPr>
          <w:rFonts w:ascii="Times New Roman" w:hAnsi="Times New Roman"/>
          <w:iCs/>
          <w:sz w:val="20"/>
          <w:szCs w:val="20"/>
          <w:lang w:val="en-GB"/>
        </w:rPr>
        <w:t xml:space="preserve">); </w:t>
      </w:r>
      <w:r w:rsidRPr="00791DB2">
        <w:rPr>
          <w:rFonts w:ascii="Times New Roman" w:hAnsi="Times New Roman"/>
          <w:i/>
          <w:sz w:val="20"/>
          <w:szCs w:val="20"/>
          <w:lang w:val="en-GB"/>
        </w:rPr>
        <w:t>Francovich</w:t>
      </w:r>
      <w:r w:rsidRPr="00791DB2">
        <w:rPr>
          <w:rFonts w:ascii="Times New Roman" w:hAnsi="Times New Roman"/>
          <w:iCs/>
          <w:sz w:val="20"/>
          <w:szCs w:val="20"/>
          <w:lang w:val="en-GB"/>
        </w:rPr>
        <w:t xml:space="preserve"> [1991], </w:t>
      </w:r>
      <w:r>
        <w:rPr>
          <w:rFonts w:ascii="Times New Roman" w:hAnsi="Times New Roman"/>
          <w:iCs/>
          <w:sz w:val="20"/>
          <w:szCs w:val="20"/>
          <w:lang w:val="en-GB"/>
        </w:rPr>
        <w:t>para.</w:t>
      </w:r>
      <w:r w:rsidRPr="00791DB2">
        <w:rPr>
          <w:rFonts w:ascii="Times New Roman" w:hAnsi="Times New Roman"/>
          <w:iCs/>
          <w:sz w:val="20"/>
          <w:szCs w:val="20"/>
          <w:lang w:val="en-GB"/>
        </w:rPr>
        <w:t xml:space="preserve"> 36 (</w:t>
      </w:r>
      <w:r>
        <w:rPr>
          <w:rFonts w:ascii="Times New Roman" w:hAnsi="Times New Roman"/>
          <w:iCs/>
          <w:sz w:val="20"/>
          <w:szCs w:val="20"/>
          <w:lang w:val="en-GB"/>
        </w:rPr>
        <w:t>‘</w:t>
      </w:r>
      <w:r w:rsidRPr="00791DB2">
        <w:rPr>
          <w:rFonts w:ascii="Times New Roman" w:hAnsi="Times New Roman"/>
          <w:iCs/>
          <w:sz w:val="20"/>
          <w:szCs w:val="20"/>
          <w:lang w:val="en-GB"/>
        </w:rPr>
        <w:t>A further basis for the obligation … is to be found in…</w:t>
      </w:r>
      <w:r>
        <w:rPr>
          <w:rFonts w:ascii="Times New Roman" w:hAnsi="Times New Roman"/>
          <w:iCs/>
          <w:sz w:val="20"/>
          <w:szCs w:val="20"/>
          <w:lang w:val="en-GB"/>
        </w:rPr>
        <w:t>’</w:t>
      </w:r>
      <w:r w:rsidRPr="00791DB2">
        <w:rPr>
          <w:rFonts w:ascii="Times New Roman" w:hAnsi="Times New Roman"/>
          <w:iCs/>
          <w:sz w:val="20"/>
          <w:szCs w:val="20"/>
          <w:lang w:val="en-GB"/>
        </w:rPr>
        <w:t xml:space="preserve">); Opinion 1/91 [1991], </w:t>
      </w:r>
      <w:r>
        <w:rPr>
          <w:rFonts w:ascii="Times New Roman" w:hAnsi="Times New Roman"/>
          <w:iCs/>
          <w:sz w:val="20"/>
          <w:szCs w:val="20"/>
          <w:lang w:val="en-GB"/>
        </w:rPr>
        <w:t>para.</w:t>
      </w:r>
      <w:r w:rsidRPr="00791DB2">
        <w:rPr>
          <w:rFonts w:ascii="Times New Roman" w:hAnsi="Times New Roman"/>
          <w:iCs/>
          <w:sz w:val="20"/>
          <w:szCs w:val="20"/>
          <w:lang w:val="en-GB"/>
        </w:rPr>
        <w:t xml:space="preserve"> 35 (</w:t>
      </w:r>
      <w:r>
        <w:rPr>
          <w:rFonts w:ascii="Times New Roman" w:hAnsi="Times New Roman"/>
          <w:iCs/>
          <w:sz w:val="20"/>
          <w:szCs w:val="20"/>
          <w:lang w:val="en-GB"/>
        </w:rPr>
        <w:t>‘</w:t>
      </w:r>
      <w:r w:rsidRPr="00791DB2">
        <w:rPr>
          <w:rFonts w:ascii="Times New Roman" w:hAnsi="Times New Roman"/>
          <w:iCs/>
          <w:sz w:val="20"/>
          <w:szCs w:val="20"/>
          <w:lang w:val="en-GB"/>
        </w:rPr>
        <w:t>This exclusive jurisdiction of the Court of Justice is confirmed by…</w:t>
      </w:r>
      <w:r>
        <w:rPr>
          <w:rFonts w:ascii="Times New Roman" w:hAnsi="Times New Roman"/>
          <w:iCs/>
          <w:sz w:val="20"/>
          <w:szCs w:val="20"/>
          <w:lang w:val="en-GB"/>
        </w:rPr>
        <w:t>’</w:t>
      </w:r>
      <w:r w:rsidRPr="00791DB2">
        <w:rPr>
          <w:rFonts w:ascii="Times New Roman" w:hAnsi="Times New Roman"/>
          <w:iCs/>
          <w:sz w:val="20"/>
          <w:szCs w:val="20"/>
          <w:lang w:val="en-GB"/>
        </w:rPr>
        <w:t xml:space="preserve">); </w:t>
      </w:r>
      <w:r w:rsidRPr="00791DB2">
        <w:rPr>
          <w:rFonts w:ascii="Times New Roman" w:hAnsi="Times New Roman"/>
          <w:i/>
          <w:sz w:val="20"/>
          <w:szCs w:val="20"/>
          <w:lang w:val="en-GB"/>
        </w:rPr>
        <w:t>Köbler</w:t>
      </w:r>
      <w:r w:rsidRPr="00791DB2">
        <w:rPr>
          <w:rFonts w:ascii="Times New Roman" w:hAnsi="Times New Roman"/>
          <w:iCs/>
          <w:sz w:val="20"/>
          <w:szCs w:val="20"/>
          <w:lang w:val="en-GB"/>
        </w:rPr>
        <w:t xml:space="preserve"> [2003], </w:t>
      </w:r>
      <w:r>
        <w:rPr>
          <w:rFonts w:ascii="Times New Roman" w:hAnsi="Times New Roman"/>
          <w:iCs/>
          <w:sz w:val="20"/>
          <w:szCs w:val="20"/>
          <w:lang w:val="en-GB"/>
        </w:rPr>
        <w:t>para.</w:t>
      </w:r>
      <w:r w:rsidRPr="00791DB2">
        <w:rPr>
          <w:rFonts w:ascii="Times New Roman" w:hAnsi="Times New Roman"/>
          <w:iCs/>
          <w:sz w:val="20"/>
          <w:szCs w:val="20"/>
          <w:lang w:val="en-GB"/>
        </w:rPr>
        <w:t xml:space="preserve"> 49 (</w:t>
      </w:r>
      <w:r>
        <w:rPr>
          <w:rFonts w:ascii="Times New Roman" w:hAnsi="Times New Roman"/>
          <w:iCs/>
          <w:sz w:val="20"/>
          <w:szCs w:val="20"/>
          <w:lang w:val="en-GB"/>
        </w:rPr>
        <w:t>‘</w:t>
      </w:r>
      <w:r w:rsidRPr="00791DB2">
        <w:rPr>
          <w:rFonts w:ascii="Times New Roman" w:hAnsi="Times New Roman"/>
          <w:iCs/>
          <w:sz w:val="20"/>
          <w:szCs w:val="20"/>
          <w:lang w:val="en-GB"/>
        </w:rPr>
        <w:t>It may also be noted that, in the same connection…</w:t>
      </w:r>
      <w:r>
        <w:rPr>
          <w:rFonts w:ascii="Times New Roman" w:hAnsi="Times New Roman"/>
          <w:iCs/>
          <w:sz w:val="20"/>
          <w:szCs w:val="20"/>
          <w:lang w:val="en-GB"/>
        </w:rPr>
        <w:t>’</w:t>
      </w:r>
      <w:r w:rsidRPr="00791DB2">
        <w:rPr>
          <w:rFonts w:ascii="Times New Roman" w:hAnsi="Times New Roman"/>
          <w:iCs/>
          <w:sz w:val="20"/>
          <w:szCs w:val="20"/>
          <w:lang w:val="en-GB"/>
        </w:rPr>
        <w:t>);</w:t>
      </w:r>
      <w:r w:rsidRPr="00791DB2">
        <w:rPr>
          <w:rFonts w:ascii="Times New Roman" w:hAnsi="Times New Roman"/>
          <w:bCs/>
          <w:iCs/>
          <w:sz w:val="20"/>
          <w:szCs w:val="20"/>
          <w:lang w:val="en-GB"/>
        </w:rPr>
        <w:t xml:space="preserve"> </w:t>
      </w:r>
      <w:r w:rsidRPr="00791DB2">
        <w:rPr>
          <w:rFonts w:ascii="Times New Roman" w:hAnsi="Times New Roman"/>
          <w:bCs/>
          <w:i/>
          <w:sz w:val="20"/>
          <w:szCs w:val="20"/>
          <w:lang w:val="en-GB"/>
        </w:rPr>
        <w:t>Pupino</w:t>
      </w:r>
      <w:r w:rsidRPr="00791DB2">
        <w:rPr>
          <w:rFonts w:ascii="Times New Roman" w:hAnsi="Times New Roman"/>
          <w:bCs/>
          <w:iCs/>
          <w:sz w:val="20"/>
          <w:szCs w:val="20"/>
          <w:lang w:val="en-GB"/>
        </w:rPr>
        <w:t xml:space="preserve"> [2005], </w:t>
      </w:r>
      <w:r>
        <w:rPr>
          <w:rFonts w:ascii="Times New Roman" w:hAnsi="Times New Roman"/>
          <w:bCs/>
          <w:iCs/>
          <w:sz w:val="20"/>
          <w:szCs w:val="20"/>
          <w:lang w:val="en-GB"/>
        </w:rPr>
        <w:t>para.</w:t>
      </w:r>
      <w:r w:rsidRPr="00791DB2">
        <w:rPr>
          <w:rFonts w:ascii="Times New Roman" w:hAnsi="Times New Roman"/>
          <w:bCs/>
          <w:iCs/>
          <w:sz w:val="20"/>
          <w:szCs w:val="20"/>
          <w:lang w:val="en-GB"/>
        </w:rPr>
        <w:t xml:space="preserve"> 43 (</w:t>
      </w:r>
      <w:r>
        <w:rPr>
          <w:rFonts w:ascii="Times New Roman" w:hAnsi="Times New Roman"/>
          <w:bCs/>
          <w:iCs/>
          <w:sz w:val="20"/>
          <w:szCs w:val="20"/>
          <w:lang w:val="en-GB"/>
        </w:rPr>
        <w:t>‘</w:t>
      </w:r>
      <w:r w:rsidRPr="00791DB2">
        <w:rPr>
          <w:rFonts w:ascii="Times New Roman" w:hAnsi="Times New Roman"/>
          <w:bCs/>
          <w:iCs/>
          <w:sz w:val="20"/>
          <w:szCs w:val="20"/>
          <w:lang w:val="en-GB"/>
        </w:rPr>
        <w:t>In the light of all the above considerations, the Court concludes that…</w:t>
      </w:r>
      <w:r>
        <w:rPr>
          <w:rFonts w:ascii="Times New Roman" w:hAnsi="Times New Roman"/>
          <w:bCs/>
          <w:iCs/>
          <w:sz w:val="20"/>
          <w:szCs w:val="20"/>
          <w:lang w:val="en-GB"/>
        </w:rPr>
        <w:t>’</w:t>
      </w:r>
      <w:r w:rsidRPr="00791DB2">
        <w:rPr>
          <w:rFonts w:ascii="Times New Roman" w:hAnsi="Times New Roman"/>
          <w:bCs/>
          <w:iCs/>
          <w:sz w:val="20"/>
          <w:szCs w:val="20"/>
          <w:lang w:val="en-GB"/>
        </w:rPr>
        <w:t xml:space="preserve">); </w:t>
      </w:r>
      <w:r w:rsidRPr="00791DB2">
        <w:rPr>
          <w:rFonts w:ascii="Times New Roman" w:hAnsi="Times New Roman"/>
          <w:bCs/>
          <w:i/>
          <w:sz w:val="20"/>
          <w:szCs w:val="20"/>
          <w:lang w:val="en-GB"/>
        </w:rPr>
        <w:t>Advocaten voor de Wereld</w:t>
      </w:r>
      <w:r w:rsidRPr="00791DB2">
        <w:rPr>
          <w:rFonts w:ascii="Times New Roman" w:hAnsi="Times New Roman"/>
          <w:bCs/>
          <w:iCs/>
          <w:sz w:val="20"/>
          <w:szCs w:val="20"/>
          <w:lang w:val="en-GB"/>
        </w:rPr>
        <w:t xml:space="preserve"> [2007], </w:t>
      </w:r>
      <w:r>
        <w:rPr>
          <w:rFonts w:ascii="Times New Roman" w:hAnsi="Times New Roman"/>
          <w:bCs/>
          <w:iCs/>
          <w:sz w:val="20"/>
          <w:szCs w:val="20"/>
          <w:lang w:val="en-GB"/>
        </w:rPr>
        <w:t>para.</w:t>
      </w:r>
      <w:r w:rsidRPr="00791DB2">
        <w:rPr>
          <w:rFonts w:ascii="Times New Roman" w:hAnsi="Times New Roman"/>
          <w:bCs/>
          <w:iCs/>
          <w:sz w:val="20"/>
          <w:szCs w:val="20"/>
          <w:lang w:val="en-GB"/>
        </w:rPr>
        <w:t xml:space="preserve"> 39 (</w:t>
      </w:r>
      <w:r>
        <w:rPr>
          <w:rFonts w:ascii="Times New Roman" w:hAnsi="Times New Roman"/>
          <w:bCs/>
          <w:iCs/>
          <w:sz w:val="20"/>
          <w:szCs w:val="20"/>
          <w:lang w:val="en-GB"/>
        </w:rPr>
        <w:t>‘</w:t>
      </w:r>
      <w:r w:rsidRPr="00791DB2">
        <w:rPr>
          <w:rFonts w:ascii="Times New Roman" w:hAnsi="Times New Roman"/>
          <w:bCs/>
          <w:iCs/>
          <w:sz w:val="20"/>
          <w:szCs w:val="20"/>
          <w:lang w:val="en-GB"/>
        </w:rPr>
        <w:t>The interpretation … is</w:t>
      </w:r>
      <w:r w:rsidRPr="00D73610">
        <w:rPr>
          <w:rFonts w:ascii="Times New Roman" w:hAnsi="Times New Roman"/>
          <w:bCs/>
          <w:iCs/>
          <w:sz w:val="20"/>
          <w:szCs w:val="20"/>
          <w:lang w:val="en-GB"/>
        </w:rPr>
        <w:t xml:space="preserve"> corroborated by…</w:t>
      </w:r>
      <w:r>
        <w:rPr>
          <w:rFonts w:ascii="Times New Roman" w:hAnsi="Times New Roman"/>
          <w:bCs/>
          <w:iCs/>
          <w:sz w:val="20"/>
          <w:szCs w:val="20"/>
          <w:lang w:val="en-GB"/>
        </w:rPr>
        <w:t>’</w:t>
      </w:r>
      <w:r w:rsidRPr="00D73610">
        <w:rPr>
          <w:rFonts w:ascii="Times New Roman" w:hAnsi="Times New Roman"/>
          <w:bCs/>
          <w:iCs/>
          <w:sz w:val="20"/>
          <w:szCs w:val="20"/>
          <w:lang w:val="en-GB"/>
        </w:rPr>
        <w:t>).</w:t>
      </w:r>
    </w:p>
  </w:footnote>
  <w:footnote w:id="26">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i/>
          <w:iCs/>
          <w:lang w:val="en-GB"/>
        </w:rPr>
        <w:t>Van Gend en Loos</w:t>
      </w:r>
      <w:r w:rsidRPr="00D73610">
        <w:rPr>
          <w:rFonts w:ascii="Times New Roman" w:hAnsi="Times New Roman"/>
          <w:lang w:val="en-GB"/>
        </w:rPr>
        <w:t xml:space="preserve"> [1963], 12.</w:t>
      </w:r>
    </w:p>
  </w:footnote>
  <w:footnote w:id="27">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i/>
          <w:iCs/>
          <w:lang w:val="en-GB"/>
        </w:rPr>
        <w:t>Bosman</w:t>
      </w:r>
      <w:r w:rsidRPr="00D73610">
        <w:rPr>
          <w:rFonts w:ascii="Times New Roman" w:hAnsi="Times New Roman"/>
          <w:lang w:val="en-GB"/>
        </w:rPr>
        <w:t xml:space="preserve"> [1995], </w:t>
      </w:r>
      <w:r>
        <w:rPr>
          <w:rFonts w:ascii="Times New Roman" w:hAnsi="Times New Roman"/>
          <w:lang w:val="en-GB"/>
        </w:rPr>
        <w:t>para.</w:t>
      </w:r>
      <w:r w:rsidRPr="00D73610">
        <w:rPr>
          <w:rFonts w:ascii="Times New Roman" w:hAnsi="Times New Roman"/>
          <w:lang w:val="en-GB"/>
        </w:rPr>
        <w:t xml:space="preserve"> 78.</w:t>
      </w:r>
    </w:p>
  </w:footnote>
  <w:footnote w:id="28">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See F. Schauer, </w:t>
      </w:r>
      <w:r>
        <w:rPr>
          <w:rFonts w:ascii="Times New Roman" w:hAnsi="Times New Roman"/>
          <w:lang w:val="en-GB"/>
        </w:rPr>
        <w:t>‘</w:t>
      </w:r>
      <w:r w:rsidRPr="00D73610">
        <w:rPr>
          <w:rFonts w:ascii="Times New Roman" w:hAnsi="Times New Roman"/>
          <w:lang w:val="en-GB"/>
        </w:rPr>
        <w:t>Why Precedent in Law (and Elsewhere) Is Not Totally (or Even Substantially) About Analogy</w:t>
      </w:r>
      <w:r>
        <w:rPr>
          <w:rFonts w:ascii="Times New Roman" w:hAnsi="Times New Roman"/>
          <w:lang w:val="en-GB"/>
        </w:rPr>
        <w:t>’</w:t>
      </w:r>
      <w:r w:rsidRPr="00D73610">
        <w:rPr>
          <w:rFonts w:ascii="Times New Roman" w:hAnsi="Times New Roman"/>
          <w:lang w:val="en-GB"/>
        </w:rPr>
        <w:t xml:space="preserve">, </w:t>
      </w:r>
      <w:r w:rsidRPr="00D73610">
        <w:rPr>
          <w:rStyle w:val="CitazioneHTML"/>
          <w:rFonts w:ascii="Times New Roman" w:hAnsi="Times New Roman"/>
          <w:iCs/>
          <w:lang w:val="en-GB"/>
        </w:rPr>
        <w:t>Perspectives on Psychological Science</w:t>
      </w:r>
      <w:r>
        <w:rPr>
          <w:rStyle w:val="CitazioneHTML"/>
          <w:rFonts w:ascii="Times New Roman" w:hAnsi="Times New Roman"/>
          <w:i w:val="0"/>
          <w:iCs/>
          <w:lang w:val="en-GB"/>
        </w:rPr>
        <w:t>, 3/6 (</w:t>
      </w:r>
      <w:r w:rsidRPr="00D73610">
        <w:rPr>
          <w:rStyle w:val="slug-pub-date"/>
          <w:rFonts w:ascii="Times New Roman" w:hAnsi="Times New Roman"/>
          <w:lang w:val="en-GB"/>
        </w:rPr>
        <w:t>2008</w:t>
      </w:r>
      <w:r>
        <w:rPr>
          <w:rStyle w:val="slug-pub-date"/>
          <w:rFonts w:ascii="Times New Roman" w:hAnsi="Times New Roman"/>
          <w:lang w:val="en-GB"/>
        </w:rPr>
        <w:t>)</w:t>
      </w:r>
      <w:r w:rsidRPr="00D73610">
        <w:rPr>
          <w:rStyle w:val="slug-pub-date"/>
          <w:rFonts w:ascii="Times New Roman" w:hAnsi="Times New Roman"/>
          <w:lang w:val="en-GB"/>
        </w:rPr>
        <w:t xml:space="preserve">, </w:t>
      </w:r>
      <w:r w:rsidRPr="00D73610">
        <w:rPr>
          <w:rStyle w:val="slug-pages"/>
          <w:rFonts w:ascii="Times New Roman" w:hAnsi="Times New Roman"/>
          <w:lang w:val="en-GB"/>
        </w:rPr>
        <w:t>454</w:t>
      </w:r>
      <w:r w:rsidRPr="00D73610">
        <w:rPr>
          <w:rFonts w:ascii="Times New Roman" w:hAnsi="Times New Roman"/>
          <w:lang w:val="en-GB"/>
        </w:rPr>
        <w:t>–</w:t>
      </w:r>
      <w:r w:rsidRPr="00D73610">
        <w:rPr>
          <w:rStyle w:val="slug-pages"/>
          <w:rFonts w:ascii="Times New Roman" w:hAnsi="Times New Roman"/>
          <w:lang w:val="en-GB"/>
        </w:rPr>
        <w:t>460.</w:t>
      </w:r>
    </w:p>
  </w:footnote>
  <w:footnote w:id="29">
    <w:p w:rsidR="005E6612" w:rsidRDefault="005E6612" w:rsidP="00B27D8E">
      <w:pPr>
        <w:pStyle w:val="Testonotaapidipagina"/>
        <w:jc w:val="both"/>
      </w:pPr>
      <w:r w:rsidRPr="00D73610">
        <w:rPr>
          <w:rStyle w:val="Rimandonotaapidipagina"/>
          <w:rFonts w:ascii="Times New Roman" w:hAnsi="Times New Roman"/>
          <w:lang w:val="en-GB"/>
        </w:rPr>
        <w:footnoteRef/>
      </w:r>
      <w:r w:rsidRPr="00CD0778">
        <w:rPr>
          <w:rFonts w:ascii="Times New Roman" w:hAnsi="Times New Roman"/>
          <w:lang w:val="es-ES"/>
        </w:rPr>
        <w:t xml:space="preserve"> </w:t>
      </w:r>
      <w:r w:rsidRPr="00CD0778">
        <w:rPr>
          <w:rFonts w:ascii="Times New Roman" w:hAnsi="Times New Roman"/>
          <w:i/>
          <w:lang w:val="es-ES"/>
        </w:rPr>
        <w:t>Francovich</w:t>
      </w:r>
      <w:r w:rsidRPr="00CD0778">
        <w:rPr>
          <w:rFonts w:ascii="Times New Roman" w:hAnsi="Times New Roman"/>
          <w:iCs/>
          <w:lang w:val="es-ES"/>
        </w:rPr>
        <w:t xml:space="preserve"> [1991], para. 21 and 43; </w:t>
      </w:r>
      <w:r w:rsidRPr="00EF6CFD">
        <w:rPr>
          <w:rFonts w:ascii="Times New Roman" w:hAnsi="Times New Roman"/>
          <w:i/>
          <w:iCs/>
          <w:lang w:val="es-ES"/>
        </w:rPr>
        <w:t>Omega</w:t>
      </w:r>
      <w:r w:rsidRPr="00EF6CFD">
        <w:rPr>
          <w:rFonts w:ascii="Times New Roman" w:hAnsi="Times New Roman"/>
          <w:lang w:val="es-ES"/>
        </w:rPr>
        <w:t xml:space="preserve"> [2004], para. 30</w:t>
      </w:r>
      <w:r w:rsidRPr="00B27D8E">
        <w:rPr>
          <w:rFonts w:ascii="Times New Roman" w:hAnsi="Times New Roman"/>
          <w:lang w:val="es-ES"/>
        </w:rPr>
        <w:t xml:space="preserve">; </w:t>
      </w:r>
      <w:r w:rsidRPr="00B27D8E">
        <w:rPr>
          <w:rFonts w:ascii="Times New Roman" w:hAnsi="Times New Roman"/>
          <w:i/>
          <w:lang w:val="es-ES"/>
        </w:rPr>
        <w:t>Advocaten voor de Wereld</w:t>
      </w:r>
      <w:r w:rsidRPr="00B27D8E">
        <w:rPr>
          <w:rFonts w:ascii="Times New Roman" w:hAnsi="Times New Roman"/>
          <w:iCs/>
          <w:lang w:val="es-ES"/>
        </w:rPr>
        <w:t xml:space="preserve"> [2007], para. 59; </w:t>
      </w:r>
      <w:r w:rsidRPr="00B27D8E">
        <w:rPr>
          <w:rFonts w:ascii="Times New Roman" w:hAnsi="Times New Roman"/>
          <w:i/>
          <w:lang w:val="es-ES"/>
        </w:rPr>
        <w:t>Laval</w:t>
      </w:r>
      <w:r w:rsidRPr="00B27D8E">
        <w:rPr>
          <w:rFonts w:ascii="Times New Roman" w:hAnsi="Times New Roman"/>
          <w:iCs/>
          <w:lang w:val="es-ES"/>
        </w:rPr>
        <w:t xml:space="preserve"> [2007], para. </w:t>
      </w:r>
      <w:r w:rsidRPr="00B27D8E">
        <w:rPr>
          <w:rFonts w:ascii="Times New Roman" w:hAnsi="Times New Roman"/>
          <w:iCs/>
          <w:lang w:val="en-GB"/>
        </w:rPr>
        <w:t xml:space="preserve">87; </w:t>
      </w:r>
      <w:r w:rsidRPr="00B27D8E">
        <w:rPr>
          <w:rFonts w:ascii="Times New Roman" w:hAnsi="Times New Roman"/>
          <w:i/>
          <w:lang w:val="en-GB"/>
        </w:rPr>
        <w:t>Viking</w:t>
      </w:r>
      <w:r w:rsidRPr="00B27D8E">
        <w:rPr>
          <w:rFonts w:ascii="Times New Roman" w:hAnsi="Times New Roman"/>
          <w:iCs/>
          <w:lang w:val="en-GB"/>
        </w:rPr>
        <w:t xml:space="preserve"> [2007], para. 34 and 40; </w:t>
      </w:r>
      <w:r w:rsidRPr="00B27D8E">
        <w:rPr>
          <w:rFonts w:ascii="Times New Roman" w:hAnsi="Times New Roman"/>
          <w:i/>
          <w:lang w:val="en-GB"/>
        </w:rPr>
        <w:t>Kadi</w:t>
      </w:r>
      <w:r w:rsidRPr="00B27D8E">
        <w:rPr>
          <w:rFonts w:ascii="Times New Roman" w:hAnsi="Times New Roman"/>
          <w:iCs/>
          <w:lang w:val="en-GB"/>
        </w:rPr>
        <w:t xml:space="preserve"> [2008], para. 224.</w:t>
      </w:r>
    </w:p>
  </w:footnote>
  <w:footnote w:id="30">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n-GB"/>
        </w:rPr>
        <w:t xml:space="preserve"> </w:t>
      </w:r>
      <w:r w:rsidRPr="00B27D8E">
        <w:rPr>
          <w:rFonts w:ascii="Times New Roman" w:hAnsi="Times New Roman"/>
          <w:i/>
          <w:lang w:val="en-GB"/>
        </w:rPr>
        <w:t xml:space="preserve">Brasserie du Pêcheur </w:t>
      </w:r>
      <w:r w:rsidRPr="00B27D8E">
        <w:rPr>
          <w:rFonts w:ascii="Times New Roman" w:hAnsi="Times New Roman"/>
          <w:lang w:val="en-GB"/>
        </w:rPr>
        <w:t xml:space="preserve">[1996]. </w:t>
      </w:r>
      <w:r w:rsidRPr="00D73610">
        <w:rPr>
          <w:rFonts w:ascii="Times New Roman" w:hAnsi="Times New Roman"/>
          <w:lang w:val="en-GB"/>
        </w:rPr>
        <w:t xml:space="preserve">K. Langenbucher, </w:t>
      </w:r>
      <w:r>
        <w:rPr>
          <w:rFonts w:ascii="Times New Roman" w:hAnsi="Times New Roman"/>
          <w:lang w:val="en-GB"/>
        </w:rPr>
        <w:t>‘</w:t>
      </w:r>
      <w:r w:rsidRPr="00D73610">
        <w:rPr>
          <w:rFonts w:ascii="Times New Roman" w:hAnsi="Times New Roman"/>
          <w:lang w:val="en-GB"/>
        </w:rPr>
        <w:t>Argument by Analogy in European Law</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iCs/>
          <w:lang w:val="en-GB"/>
        </w:rPr>
        <w:t xml:space="preserve">Cambridge Law Journal, </w:t>
      </w:r>
      <w:r w:rsidRPr="00D73610">
        <w:rPr>
          <w:rFonts w:ascii="Times New Roman" w:hAnsi="Times New Roman"/>
          <w:lang w:val="en-GB"/>
        </w:rPr>
        <w:t xml:space="preserve">57/3, 1998, 481–521, 516 ff., discusses at length </w:t>
      </w:r>
      <w:r w:rsidRPr="00D73610">
        <w:rPr>
          <w:rFonts w:ascii="Times New Roman" w:hAnsi="Times New Roman"/>
          <w:i/>
          <w:lang w:val="en-GB"/>
        </w:rPr>
        <w:t xml:space="preserve">Brasserie du Pêcheur </w:t>
      </w:r>
      <w:r w:rsidRPr="00D73610">
        <w:rPr>
          <w:rFonts w:ascii="Times New Roman" w:hAnsi="Times New Roman"/>
          <w:iCs/>
          <w:lang w:val="en-GB"/>
        </w:rPr>
        <w:t xml:space="preserve">in order to provide an example of analogical reasoning of the </w:t>
      </w:r>
      <w:r w:rsidRPr="003D634E">
        <w:rPr>
          <w:rFonts w:ascii="Times New Roman" w:hAnsi="Times New Roman"/>
          <w:iCs/>
          <w:lang w:val="en-GB"/>
        </w:rPr>
        <w:t>Court of Justice</w:t>
      </w:r>
      <w:r w:rsidRPr="00D73610">
        <w:rPr>
          <w:rFonts w:ascii="Times New Roman" w:hAnsi="Times New Roman"/>
          <w:iCs/>
          <w:lang w:val="en-GB"/>
        </w:rPr>
        <w:t xml:space="preserve"> but highlights passages of the </w:t>
      </w:r>
      <w:r>
        <w:rPr>
          <w:rFonts w:ascii="Times New Roman" w:hAnsi="Times New Roman"/>
          <w:iCs/>
          <w:lang w:val="en-GB"/>
        </w:rPr>
        <w:t>judgme</w:t>
      </w:r>
      <w:r w:rsidRPr="00D73610">
        <w:rPr>
          <w:rFonts w:ascii="Times New Roman" w:hAnsi="Times New Roman"/>
          <w:iCs/>
          <w:lang w:val="en-GB"/>
        </w:rPr>
        <w:t>nt that cannot be considered as analogies for the purposes of this research.</w:t>
      </w:r>
    </w:p>
  </w:footnote>
  <w:footnote w:id="31">
    <w:p w:rsidR="005E6612" w:rsidRDefault="005E6612" w:rsidP="00B27D8E">
      <w:pPr>
        <w:pStyle w:val="Testonotaapidipagina"/>
        <w:jc w:val="both"/>
      </w:pPr>
      <w:r w:rsidRPr="00D73610">
        <w:rPr>
          <w:rStyle w:val="Rimandonotaapidipagina"/>
          <w:rFonts w:ascii="Times New Roman" w:hAnsi="Times New Roman"/>
          <w:lang w:val="en-GB"/>
        </w:rPr>
        <w:footnoteRef/>
      </w:r>
      <w:r w:rsidRPr="00C13CDF">
        <w:rPr>
          <w:rFonts w:ascii="Times New Roman" w:hAnsi="Times New Roman"/>
        </w:rPr>
        <w:t xml:space="preserve"> </w:t>
      </w:r>
      <w:r w:rsidRPr="00C13CDF">
        <w:rPr>
          <w:rFonts w:ascii="Times New Roman" w:hAnsi="Times New Roman"/>
          <w:i/>
        </w:rPr>
        <w:t xml:space="preserve">Brasserie du Pêcheur </w:t>
      </w:r>
      <w:r w:rsidRPr="00C13CDF">
        <w:rPr>
          <w:rFonts w:ascii="Times New Roman" w:hAnsi="Times New Roman"/>
        </w:rPr>
        <w:t>[1996], para. 34 and 42.</w:t>
      </w:r>
    </w:p>
  </w:footnote>
  <w:footnote w:id="32">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The exception is </w:t>
      </w:r>
      <w:r w:rsidRPr="00D73610">
        <w:rPr>
          <w:rFonts w:ascii="Times New Roman" w:hAnsi="Times New Roman"/>
          <w:i/>
          <w:iCs/>
          <w:lang w:val="en-GB"/>
        </w:rPr>
        <w:t>Grogan</w:t>
      </w:r>
      <w:r w:rsidRPr="00D73610">
        <w:rPr>
          <w:rFonts w:ascii="Times New Roman" w:hAnsi="Times New Roman"/>
          <w:lang w:val="en-GB"/>
        </w:rPr>
        <w:t xml:space="preserve"> [1991], </w:t>
      </w:r>
      <w:r>
        <w:rPr>
          <w:rFonts w:ascii="Times New Roman" w:hAnsi="Times New Roman"/>
          <w:lang w:val="en-GB"/>
        </w:rPr>
        <w:t>para.</w:t>
      </w:r>
      <w:r w:rsidRPr="00D73610">
        <w:rPr>
          <w:rFonts w:ascii="Times New Roman" w:hAnsi="Times New Roman"/>
          <w:lang w:val="en-GB"/>
        </w:rPr>
        <w:t xml:space="preserve"> 27.</w:t>
      </w:r>
    </w:p>
  </w:footnote>
  <w:footnote w:id="33">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L. Azoulai, </w:t>
      </w:r>
      <w:r>
        <w:rPr>
          <w:rFonts w:ascii="Times New Roman" w:hAnsi="Times New Roman"/>
          <w:lang w:val="en-GB"/>
        </w:rPr>
        <w:t>‘</w:t>
      </w:r>
      <w:r w:rsidRPr="00D73610">
        <w:rPr>
          <w:rFonts w:ascii="Times New Roman" w:hAnsi="Times New Roman"/>
          <w:lang w:val="en-GB"/>
        </w:rPr>
        <w:t>The ‘Retained Powers’ Formula in the Case Law of the European Court of Justice: EU Law as Total Law?</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iCs/>
          <w:lang w:val="en-GB"/>
        </w:rPr>
        <w:t>European Journal of Legal Studies</w:t>
      </w:r>
      <w:r w:rsidRPr="00D73610">
        <w:rPr>
          <w:rFonts w:ascii="Times New Roman" w:hAnsi="Times New Roman"/>
          <w:lang w:val="en-GB"/>
        </w:rPr>
        <w:t>, 4/2, 2011, 192–219.</w:t>
      </w:r>
    </w:p>
  </w:footnote>
  <w:footnote w:id="34">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Case C-279/93, </w:t>
      </w:r>
      <w:r w:rsidRPr="00D73610">
        <w:rPr>
          <w:rFonts w:ascii="Times New Roman" w:hAnsi="Times New Roman"/>
          <w:i/>
          <w:iCs/>
          <w:lang w:val="en-GB"/>
        </w:rPr>
        <w:t xml:space="preserve">Schumacker </w:t>
      </w:r>
      <w:r w:rsidRPr="00D73610">
        <w:rPr>
          <w:rFonts w:ascii="Times New Roman" w:hAnsi="Times New Roman"/>
          <w:lang w:val="en-GB"/>
        </w:rPr>
        <w:t xml:space="preserve">[1995] ECR I-225, </w:t>
      </w:r>
      <w:r>
        <w:rPr>
          <w:rFonts w:ascii="Times New Roman" w:hAnsi="Times New Roman"/>
          <w:lang w:val="en-GB"/>
        </w:rPr>
        <w:t>para.</w:t>
      </w:r>
      <w:r w:rsidRPr="00D73610">
        <w:rPr>
          <w:rFonts w:ascii="Times New Roman" w:hAnsi="Times New Roman"/>
          <w:lang w:val="en-GB"/>
        </w:rPr>
        <w:t xml:space="preserve"> 21; Case C-246/89, </w:t>
      </w:r>
      <w:r w:rsidRPr="00D73610">
        <w:rPr>
          <w:rFonts w:ascii="Times New Roman" w:hAnsi="Times New Roman"/>
          <w:i/>
          <w:iCs/>
          <w:lang w:val="en-GB"/>
        </w:rPr>
        <w:t xml:space="preserve">Commission </w:t>
      </w:r>
      <w:r w:rsidRPr="00D73610">
        <w:rPr>
          <w:rFonts w:ascii="Times New Roman" w:hAnsi="Times New Roman"/>
          <w:lang w:val="en-GB"/>
        </w:rPr>
        <w:t>v</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iCs/>
          <w:lang w:val="en-GB"/>
        </w:rPr>
        <w:t xml:space="preserve">United Kingdom </w:t>
      </w:r>
      <w:r w:rsidRPr="00D73610">
        <w:rPr>
          <w:rFonts w:ascii="Times New Roman" w:hAnsi="Times New Roman"/>
          <w:lang w:val="en-GB"/>
        </w:rPr>
        <w:t xml:space="preserve">[1991], ECR I-04585, </w:t>
      </w:r>
      <w:r>
        <w:rPr>
          <w:rFonts w:ascii="Times New Roman" w:hAnsi="Times New Roman"/>
          <w:lang w:val="en-GB"/>
        </w:rPr>
        <w:t>para.</w:t>
      </w:r>
      <w:r w:rsidRPr="00D73610">
        <w:rPr>
          <w:rFonts w:ascii="Times New Roman" w:hAnsi="Times New Roman"/>
          <w:lang w:val="en-GB"/>
        </w:rPr>
        <w:t xml:space="preserve"> 12 (</w:t>
      </w:r>
      <w:r>
        <w:rPr>
          <w:rFonts w:ascii="Times New Roman" w:hAnsi="Times New Roman"/>
          <w:lang w:val="en-GB"/>
        </w:rPr>
        <w:t>‘</w:t>
      </w:r>
      <w:r w:rsidRPr="00D73610">
        <w:rPr>
          <w:rFonts w:ascii="Times New Roman" w:hAnsi="Times New Roman"/>
          <w:lang w:val="en-GB"/>
        </w:rPr>
        <w:t>the powers retained by the Member States must nevertheless be exercised consistently with Community law</w:t>
      </w:r>
      <w:r>
        <w:rPr>
          <w:rFonts w:ascii="Times New Roman" w:hAnsi="Times New Roman"/>
          <w:lang w:val="en-GB"/>
        </w:rPr>
        <w:t>’</w:t>
      </w:r>
      <w:r w:rsidRPr="00D73610">
        <w:rPr>
          <w:rFonts w:ascii="Times New Roman" w:hAnsi="Times New Roman"/>
          <w:lang w:val="en-GB"/>
        </w:rPr>
        <w:t>).</w:t>
      </w:r>
    </w:p>
  </w:footnote>
  <w:footnote w:id="35">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Case C-30/59, </w:t>
      </w:r>
      <w:r w:rsidRPr="00D73610">
        <w:rPr>
          <w:rFonts w:ascii="Times New Roman" w:hAnsi="Times New Roman"/>
          <w:i/>
          <w:iCs/>
          <w:lang w:val="en-GB"/>
        </w:rPr>
        <w:t xml:space="preserve">Steenkolenmijnen </w:t>
      </w:r>
      <w:r w:rsidRPr="00D73610">
        <w:rPr>
          <w:rFonts w:ascii="Times New Roman" w:hAnsi="Times New Roman"/>
          <w:lang w:val="en-GB"/>
        </w:rPr>
        <w:t xml:space="preserve">[1961] ECR 3, 24; Case 9/74, </w:t>
      </w:r>
      <w:r w:rsidRPr="00D73610">
        <w:rPr>
          <w:rFonts w:ascii="Times New Roman" w:hAnsi="Times New Roman"/>
          <w:i/>
          <w:iCs/>
          <w:lang w:val="en-GB"/>
        </w:rPr>
        <w:t xml:space="preserve">Casagrande </w:t>
      </w:r>
      <w:r w:rsidRPr="00D73610">
        <w:rPr>
          <w:rFonts w:ascii="Times New Roman" w:hAnsi="Times New Roman"/>
          <w:lang w:val="en-GB"/>
        </w:rPr>
        <w:t xml:space="preserve">[1974] ECR 773, </w:t>
      </w:r>
      <w:r>
        <w:rPr>
          <w:rFonts w:ascii="Times New Roman" w:hAnsi="Times New Roman"/>
          <w:lang w:val="en-GB"/>
        </w:rPr>
        <w:t>para.</w:t>
      </w:r>
      <w:r w:rsidRPr="00D73610">
        <w:rPr>
          <w:rFonts w:ascii="Times New Roman" w:hAnsi="Times New Roman"/>
          <w:lang w:val="en-GB"/>
        </w:rPr>
        <w:t xml:space="preserve"> 12. See also Joined Cases C-6 and C-11/69 </w:t>
      </w:r>
      <w:r w:rsidRPr="00D73610">
        <w:rPr>
          <w:rFonts w:ascii="Times New Roman" w:hAnsi="Times New Roman"/>
          <w:i/>
          <w:iCs/>
          <w:lang w:val="en-GB"/>
        </w:rPr>
        <w:t xml:space="preserve">Commission </w:t>
      </w:r>
      <w:r w:rsidRPr="00D73610">
        <w:rPr>
          <w:rFonts w:ascii="Times New Roman" w:hAnsi="Times New Roman"/>
          <w:lang w:val="en-GB"/>
        </w:rPr>
        <w:t xml:space="preserve">v. </w:t>
      </w:r>
      <w:r w:rsidRPr="00D73610">
        <w:rPr>
          <w:rFonts w:ascii="Times New Roman" w:hAnsi="Times New Roman"/>
          <w:i/>
          <w:iCs/>
          <w:lang w:val="en-GB"/>
        </w:rPr>
        <w:t xml:space="preserve">France </w:t>
      </w:r>
      <w:r w:rsidRPr="00D73610">
        <w:rPr>
          <w:rFonts w:ascii="Times New Roman" w:hAnsi="Times New Roman"/>
          <w:lang w:val="en-GB"/>
        </w:rPr>
        <w:t xml:space="preserve">[1969] ECR 523, </w:t>
      </w:r>
      <w:r>
        <w:rPr>
          <w:rFonts w:ascii="Times New Roman" w:hAnsi="Times New Roman"/>
          <w:lang w:val="en-GB"/>
        </w:rPr>
        <w:t>para.</w:t>
      </w:r>
      <w:r w:rsidRPr="00D73610">
        <w:rPr>
          <w:rFonts w:ascii="Times New Roman" w:hAnsi="Times New Roman"/>
          <w:lang w:val="en-GB"/>
        </w:rPr>
        <w:t xml:space="preserve"> 17 (</w:t>
      </w:r>
      <w:r>
        <w:rPr>
          <w:rFonts w:ascii="Times New Roman" w:hAnsi="Times New Roman"/>
          <w:lang w:val="en-GB"/>
        </w:rPr>
        <w:t>‘</w:t>
      </w:r>
      <w:r w:rsidRPr="00D73610">
        <w:rPr>
          <w:rFonts w:ascii="Times New Roman" w:hAnsi="Times New Roman"/>
          <w:lang w:val="en-GB"/>
        </w:rPr>
        <w:t>The exercise of reserved powers cannot therefore permit the unilateral adoption of measures prohibited by the Treaty</w:t>
      </w:r>
      <w:r>
        <w:rPr>
          <w:rFonts w:ascii="Times New Roman" w:hAnsi="Times New Roman"/>
          <w:lang w:val="en-GB"/>
        </w:rPr>
        <w:t>’</w:t>
      </w:r>
      <w:r w:rsidRPr="00D73610">
        <w:rPr>
          <w:rFonts w:ascii="Times New Roman" w:hAnsi="Times New Roman"/>
          <w:lang w:val="en-GB"/>
        </w:rPr>
        <w:t>).</w:t>
      </w:r>
    </w:p>
  </w:footnote>
  <w:footnote w:id="36">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bCs/>
          <w:i/>
          <w:iCs/>
          <w:lang w:val="en-GB"/>
        </w:rPr>
        <w:t>Viking</w:t>
      </w:r>
      <w:r w:rsidRPr="00D73610">
        <w:rPr>
          <w:rFonts w:ascii="Times New Roman" w:hAnsi="Times New Roman"/>
          <w:bCs/>
          <w:lang w:val="en-GB"/>
        </w:rPr>
        <w:t xml:space="preserve"> [2007], </w:t>
      </w:r>
      <w:r>
        <w:rPr>
          <w:rFonts w:ascii="Times New Roman" w:hAnsi="Times New Roman"/>
          <w:bCs/>
          <w:lang w:val="en-GB"/>
        </w:rPr>
        <w:t>para. 40</w:t>
      </w:r>
      <w:r w:rsidRPr="00D73610">
        <w:rPr>
          <w:rFonts w:ascii="Times New Roman" w:hAnsi="Times New Roman"/>
          <w:bCs/>
          <w:lang w:val="en-GB"/>
        </w:rPr>
        <w:t>.</w:t>
      </w:r>
    </w:p>
  </w:footnote>
  <w:footnote w:id="37">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i/>
          <w:iCs/>
          <w:lang w:val="en-GB"/>
        </w:rPr>
        <w:t xml:space="preserve">Defrenne II </w:t>
      </w:r>
      <w:r w:rsidRPr="00D73610">
        <w:rPr>
          <w:rFonts w:ascii="Times New Roman" w:hAnsi="Times New Roman"/>
          <w:lang w:val="en-GB"/>
        </w:rPr>
        <w:t xml:space="preserve">[1976], </w:t>
      </w:r>
      <w:r>
        <w:rPr>
          <w:rFonts w:ascii="Times New Roman" w:hAnsi="Times New Roman"/>
          <w:lang w:val="en-GB"/>
        </w:rPr>
        <w:t>para.</w:t>
      </w:r>
      <w:r w:rsidRPr="00D73610">
        <w:rPr>
          <w:rFonts w:ascii="Times New Roman" w:hAnsi="Times New Roman"/>
          <w:lang w:val="en-GB"/>
        </w:rPr>
        <w:t xml:space="preserve"> 27 (</w:t>
      </w:r>
      <w:r>
        <w:rPr>
          <w:rFonts w:ascii="Times New Roman" w:hAnsi="Times New Roman"/>
          <w:lang w:val="en-GB"/>
        </w:rPr>
        <w:t>‘</w:t>
      </w:r>
      <w:r w:rsidRPr="00D73610">
        <w:rPr>
          <w:rFonts w:ascii="Times New Roman" w:hAnsi="Times New Roman"/>
          <w:iCs/>
          <w:lang w:val="en-GB"/>
        </w:rPr>
        <w:t>the terms of article 119 cannot be relied on to invalidate this conclusion</w:t>
      </w:r>
      <w:r>
        <w:rPr>
          <w:rFonts w:ascii="Times New Roman" w:hAnsi="Times New Roman"/>
          <w:iCs/>
          <w:noProof/>
          <w:lang w:val="en-GB"/>
        </w:rPr>
        <w:t>’</w:t>
      </w:r>
      <w:r w:rsidRPr="00D73610">
        <w:rPr>
          <w:rFonts w:ascii="Times New Roman" w:hAnsi="Times New Roman"/>
          <w:iCs/>
          <w:noProof/>
          <w:lang w:val="en-GB"/>
        </w:rPr>
        <w:t xml:space="preserve">); </w:t>
      </w:r>
      <w:r w:rsidRPr="0025156A">
        <w:rPr>
          <w:rFonts w:ascii="Times New Roman" w:hAnsi="Times New Roman"/>
          <w:i/>
          <w:iCs/>
          <w:noProof/>
          <w:lang w:val="en-GB"/>
        </w:rPr>
        <w:t>Antonissen</w:t>
      </w:r>
      <w:r w:rsidRPr="00C13CDF">
        <w:rPr>
          <w:rFonts w:ascii="Times New Roman" w:hAnsi="Times New Roman"/>
          <w:iCs/>
          <w:noProof/>
          <w:lang w:val="en-GB"/>
        </w:rPr>
        <w:t xml:space="preserve"> </w:t>
      </w:r>
      <w:r w:rsidRPr="00D73610">
        <w:rPr>
          <w:rFonts w:ascii="Times New Roman" w:hAnsi="Times New Roman"/>
          <w:iCs/>
          <w:noProof/>
          <w:lang w:val="en-GB"/>
        </w:rPr>
        <w:t xml:space="preserve">[1991], </w:t>
      </w:r>
      <w:r>
        <w:rPr>
          <w:rFonts w:ascii="Times New Roman" w:hAnsi="Times New Roman"/>
          <w:iCs/>
          <w:noProof/>
          <w:lang w:val="en-GB"/>
        </w:rPr>
        <w:t>para.</w:t>
      </w:r>
      <w:r w:rsidRPr="00D73610">
        <w:rPr>
          <w:rFonts w:ascii="Times New Roman" w:hAnsi="Times New Roman"/>
          <w:iCs/>
          <w:noProof/>
          <w:lang w:val="en-GB"/>
        </w:rPr>
        <w:t xml:space="preserve"> 9 ff, rejecting the interpretation based on </w:t>
      </w:r>
      <w:r>
        <w:rPr>
          <w:rFonts w:ascii="Times New Roman" w:hAnsi="Times New Roman"/>
          <w:iCs/>
          <w:noProof/>
          <w:lang w:val="en-GB"/>
        </w:rPr>
        <w:t>‘</w:t>
      </w:r>
      <w:r w:rsidRPr="00D73610">
        <w:rPr>
          <w:rFonts w:ascii="Times New Roman" w:hAnsi="Times New Roman"/>
          <w:iCs/>
          <w:noProof/>
          <w:lang w:val="en-GB"/>
        </w:rPr>
        <w:t>the strict wording of Article 48</w:t>
      </w:r>
      <w:r>
        <w:rPr>
          <w:rFonts w:ascii="Times New Roman" w:hAnsi="Times New Roman"/>
          <w:iCs/>
          <w:noProof/>
          <w:lang w:val="en-GB"/>
        </w:rPr>
        <w:t>’</w:t>
      </w:r>
      <w:r w:rsidRPr="00D73610">
        <w:rPr>
          <w:rFonts w:ascii="Times New Roman" w:hAnsi="Times New Roman"/>
          <w:iCs/>
          <w:noProof/>
          <w:lang w:val="en-GB"/>
        </w:rPr>
        <w:t xml:space="preserve">; Opinion 1/91 [1991], </w:t>
      </w:r>
      <w:r>
        <w:rPr>
          <w:rFonts w:ascii="Times New Roman" w:hAnsi="Times New Roman"/>
          <w:iCs/>
          <w:noProof/>
          <w:lang w:val="en-GB"/>
        </w:rPr>
        <w:t>para.</w:t>
      </w:r>
      <w:r w:rsidRPr="00D73610">
        <w:rPr>
          <w:rFonts w:ascii="Times New Roman" w:hAnsi="Times New Roman"/>
          <w:iCs/>
          <w:noProof/>
          <w:lang w:val="en-GB"/>
        </w:rPr>
        <w:t xml:space="preserve"> 14. The argument was adopted by the Court in </w:t>
      </w:r>
      <w:r w:rsidRPr="00D73610">
        <w:rPr>
          <w:rFonts w:ascii="Times New Roman" w:hAnsi="Times New Roman"/>
          <w:bCs/>
          <w:i/>
          <w:iCs/>
          <w:shd w:val="clear" w:color="auto" w:fill="FFFFFF"/>
          <w:lang w:val="en-GB"/>
        </w:rPr>
        <w:t>Van Gend en Loos</w:t>
      </w:r>
      <w:r w:rsidRPr="00D73610">
        <w:rPr>
          <w:rFonts w:ascii="Times New Roman" w:hAnsi="Times New Roman"/>
          <w:bCs/>
          <w:shd w:val="clear" w:color="auto" w:fill="FFFFFF"/>
          <w:lang w:val="en-GB"/>
        </w:rPr>
        <w:t xml:space="preserve"> [1963], 13; </w:t>
      </w:r>
      <w:r w:rsidRPr="00D73610">
        <w:rPr>
          <w:rFonts w:ascii="Times New Roman" w:hAnsi="Times New Roman"/>
          <w:bCs/>
          <w:i/>
          <w:iCs/>
          <w:shd w:val="clear" w:color="auto" w:fill="FFFFFF"/>
          <w:lang w:val="en-GB"/>
        </w:rPr>
        <w:t xml:space="preserve">Costa </w:t>
      </w:r>
      <w:r w:rsidRPr="00D73610">
        <w:rPr>
          <w:rFonts w:ascii="Times New Roman" w:hAnsi="Times New Roman"/>
          <w:bCs/>
          <w:shd w:val="clear" w:color="auto" w:fill="FFFFFF"/>
          <w:lang w:val="en-GB"/>
        </w:rPr>
        <w:t xml:space="preserve">[1964], 597; </w:t>
      </w:r>
      <w:r w:rsidRPr="00D73610">
        <w:rPr>
          <w:rFonts w:ascii="Times New Roman" w:hAnsi="Times New Roman"/>
          <w:i/>
          <w:iCs/>
          <w:lang w:val="en-GB"/>
        </w:rPr>
        <w:t>Pupino</w:t>
      </w:r>
      <w:r w:rsidRPr="00D73610">
        <w:rPr>
          <w:rFonts w:ascii="Times New Roman" w:hAnsi="Times New Roman"/>
          <w:lang w:val="en-GB"/>
        </w:rPr>
        <w:t xml:space="preserve"> [2005], </w:t>
      </w:r>
      <w:r>
        <w:rPr>
          <w:rFonts w:ascii="Times New Roman" w:hAnsi="Times New Roman"/>
          <w:lang w:val="en-GB"/>
        </w:rPr>
        <w:t>para.</w:t>
      </w:r>
      <w:r w:rsidRPr="00D73610">
        <w:rPr>
          <w:rFonts w:ascii="Times New Roman" w:hAnsi="Times New Roman"/>
          <w:lang w:val="en-GB"/>
        </w:rPr>
        <w:t xml:space="preserve"> 33</w:t>
      </w:r>
      <w:r>
        <w:rPr>
          <w:rFonts w:ascii="Times New Roman" w:hAnsi="Times New Roman"/>
          <w:lang w:val="en-GB"/>
        </w:rPr>
        <w:t xml:space="preserve">-34; </w:t>
      </w:r>
      <w:r w:rsidRPr="00D73610">
        <w:rPr>
          <w:rFonts w:ascii="Times New Roman" w:hAnsi="Times New Roman"/>
          <w:bCs/>
          <w:i/>
          <w:iCs/>
          <w:lang w:val="en-GB"/>
        </w:rPr>
        <w:t>Kadi</w:t>
      </w:r>
      <w:r w:rsidRPr="00D73610">
        <w:rPr>
          <w:rFonts w:ascii="Times New Roman" w:hAnsi="Times New Roman"/>
          <w:bCs/>
          <w:lang w:val="en-GB"/>
        </w:rPr>
        <w:t xml:space="preserve"> [2008], </w:t>
      </w:r>
      <w:r>
        <w:rPr>
          <w:rFonts w:ascii="Times New Roman" w:hAnsi="Times New Roman"/>
          <w:bCs/>
          <w:lang w:val="en-GB"/>
        </w:rPr>
        <w:t>para.</w:t>
      </w:r>
      <w:r w:rsidRPr="00D73610">
        <w:rPr>
          <w:rFonts w:ascii="Times New Roman" w:hAnsi="Times New Roman"/>
          <w:bCs/>
          <w:lang w:val="en-GB"/>
        </w:rPr>
        <w:t xml:space="preserve"> 166 ff. and 199 ff.</w:t>
      </w:r>
      <w:r>
        <w:rPr>
          <w:rFonts w:ascii="Times New Roman" w:hAnsi="Times New Roman"/>
          <w:bCs/>
          <w:lang w:val="en-GB"/>
        </w:rPr>
        <w:t xml:space="preserve"> </w:t>
      </w:r>
    </w:p>
  </w:footnote>
  <w:footnote w:id="38">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Among the critics of the </w:t>
      </w:r>
      <w:r w:rsidRPr="003D634E">
        <w:rPr>
          <w:rFonts w:ascii="Times New Roman" w:hAnsi="Times New Roman"/>
          <w:lang w:val="en-GB"/>
        </w:rPr>
        <w:t>Court of Justice</w:t>
      </w:r>
      <w:r w:rsidRPr="00D73610">
        <w:rPr>
          <w:rFonts w:ascii="Times New Roman" w:hAnsi="Times New Roman"/>
          <w:lang w:val="en-GB"/>
        </w:rPr>
        <w:t xml:space="preserve">, standard references </w:t>
      </w:r>
      <w:r>
        <w:rPr>
          <w:rFonts w:ascii="Times New Roman" w:hAnsi="Times New Roman"/>
          <w:lang w:val="en-GB"/>
        </w:rPr>
        <w:t xml:space="preserve">include </w:t>
      </w:r>
      <w:r w:rsidRPr="00D73610">
        <w:rPr>
          <w:rFonts w:ascii="Times New Roman" w:hAnsi="Times New Roman"/>
          <w:bCs/>
          <w:iCs/>
          <w:lang w:val="en-GB"/>
        </w:rPr>
        <w:t xml:space="preserve">Rasmussen, </w:t>
      </w:r>
      <w:r w:rsidRPr="00D73610">
        <w:rPr>
          <w:rFonts w:ascii="Times New Roman" w:hAnsi="Times New Roman"/>
          <w:bCs/>
          <w:i/>
          <w:iCs/>
          <w:lang w:val="en-GB"/>
        </w:rPr>
        <w:t>On Law and Policy</w:t>
      </w:r>
      <w:r w:rsidRPr="00D73610">
        <w:rPr>
          <w:rFonts w:ascii="Times New Roman" w:hAnsi="Times New Roman"/>
          <w:bCs/>
          <w:iCs/>
          <w:lang w:val="en-GB"/>
        </w:rPr>
        <w:t xml:space="preserve">, cit.; Sir Patrick Neill, </w:t>
      </w:r>
      <w:r w:rsidRPr="00D73610">
        <w:rPr>
          <w:rFonts w:ascii="Times New Roman" w:hAnsi="Times New Roman"/>
          <w:bCs/>
          <w:i/>
          <w:iCs/>
          <w:lang w:val="en-GB"/>
        </w:rPr>
        <w:t>The European Court of Justice. A Case Study in Judicial Activism</w:t>
      </w:r>
      <w:r>
        <w:rPr>
          <w:rFonts w:ascii="Times New Roman" w:hAnsi="Times New Roman"/>
          <w:bCs/>
          <w:iCs/>
          <w:lang w:val="en-GB"/>
        </w:rPr>
        <w:t xml:space="preserve"> (</w:t>
      </w:r>
      <w:r w:rsidRPr="00D73610">
        <w:rPr>
          <w:rFonts w:ascii="Times New Roman" w:hAnsi="Times New Roman"/>
          <w:bCs/>
          <w:lang w:val="en-GB"/>
        </w:rPr>
        <w:t>London</w:t>
      </w:r>
      <w:r>
        <w:rPr>
          <w:rFonts w:ascii="Times New Roman" w:hAnsi="Times New Roman"/>
          <w:bCs/>
          <w:lang w:val="en-GB"/>
        </w:rPr>
        <w:t>:</w:t>
      </w:r>
      <w:r w:rsidRPr="00D73610">
        <w:rPr>
          <w:rFonts w:ascii="Times New Roman" w:hAnsi="Times New Roman"/>
          <w:bCs/>
          <w:lang w:val="en-GB"/>
        </w:rPr>
        <w:t xml:space="preserve"> European Policy Forum</w:t>
      </w:r>
      <w:r>
        <w:rPr>
          <w:rFonts w:ascii="Times New Roman" w:hAnsi="Times New Roman"/>
          <w:bCs/>
          <w:lang w:val="en-GB"/>
        </w:rPr>
        <w:t>,</w:t>
      </w:r>
      <w:r w:rsidRPr="00D73610">
        <w:rPr>
          <w:rFonts w:ascii="Times New Roman" w:hAnsi="Times New Roman"/>
          <w:bCs/>
          <w:lang w:val="en-GB"/>
        </w:rPr>
        <w:t xml:space="preserve"> 1995</w:t>
      </w:r>
      <w:r>
        <w:rPr>
          <w:rFonts w:ascii="Times New Roman" w:hAnsi="Times New Roman"/>
          <w:bCs/>
          <w:lang w:val="en-GB"/>
        </w:rPr>
        <w:t>)</w:t>
      </w:r>
      <w:r w:rsidRPr="00D73610">
        <w:rPr>
          <w:rFonts w:ascii="Times New Roman" w:hAnsi="Times New Roman"/>
          <w:bCs/>
          <w:lang w:val="en-GB"/>
        </w:rPr>
        <w:t>; T</w:t>
      </w:r>
      <w:r w:rsidRPr="00D73610">
        <w:rPr>
          <w:rFonts w:ascii="Times New Roman" w:hAnsi="Times New Roman"/>
          <w:lang w:val="en-GB"/>
        </w:rPr>
        <w:t xml:space="preserve">.C. Hartley, </w:t>
      </w:r>
      <w:r w:rsidRPr="00D73610">
        <w:rPr>
          <w:rFonts w:ascii="Times New Roman" w:hAnsi="Times New Roman"/>
          <w:i/>
          <w:lang w:val="en-GB"/>
        </w:rPr>
        <w:t>The Foundations of European Community Law</w:t>
      </w:r>
      <w:r>
        <w:rPr>
          <w:rFonts w:ascii="Times New Roman" w:hAnsi="Times New Roman"/>
          <w:lang w:val="en-GB"/>
        </w:rPr>
        <w:t>, 4th ed. (</w:t>
      </w:r>
      <w:r w:rsidRPr="00D73610">
        <w:rPr>
          <w:rFonts w:ascii="Times New Roman" w:hAnsi="Times New Roman"/>
          <w:lang w:val="en-GB"/>
        </w:rPr>
        <w:t>Oxford</w:t>
      </w:r>
      <w:r>
        <w:rPr>
          <w:rFonts w:ascii="Times New Roman" w:hAnsi="Times New Roman"/>
          <w:lang w:val="en-GB"/>
        </w:rPr>
        <w:t xml:space="preserve"> </w:t>
      </w:r>
      <w:r w:rsidRPr="00D73610">
        <w:rPr>
          <w:rFonts w:ascii="Times New Roman" w:hAnsi="Times New Roman"/>
          <w:lang w:val="en-GB"/>
        </w:rPr>
        <w:t>U</w:t>
      </w:r>
      <w:r>
        <w:rPr>
          <w:rFonts w:ascii="Times New Roman" w:hAnsi="Times New Roman"/>
          <w:lang w:val="en-GB"/>
        </w:rPr>
        <w:t xml:space="preserve">niversity </w:t>
      </w:r>
      <w:r w:rsidRPr="00D73610">
        <w:rPr>
          <w:rFonts w:ascii="Times New Roman" w:hAnsi="Times New Roman"/>
          <w:lang w:val="en-GB"/>
        </w:rPr>
        <w:t>P</w:t>
      </w:r>
      <w:r>
        <w:rPr>
          <w:rFonts w:ascii="Times New Roman" w:hAnsi="Times New Roman"/>
          <w:lang w:val="en-GB"/>
        </w:rPr>
        <w:t>ress,</w:t>
      </w:r>
      <w:r w:rsidRPr="00D73610">
        <w:rPr>
          <w:rFonts w:ascii="Times New Roman" w:hAnsi="Times New Roman"/>
          <w:lang w:val="en-GB"/>
        </w:rPr>
        <w:t xml:space="preserve"> 1998</w:t>
      </w:r>
      <w:r>
        <w:rPr>
          <w:rFonts w:ascii="Times New Roman" w:hAnsi="Times New Roman"/>
          <w:lang w:val="en-GB"/>
        </w:rPr>
        <w:t>)</w:t>
      </w:r>
      <w:r w:rsidRPr="00D73610">
        <w:rPr>
          <w:rFonts w:ascii="Times New Roman" w:hAnsi="Times New Roman"/>
          <w:lang w:val="en-GB"/>
        </w:rPr>
        <w:t xml:space="preserve">; Id., </w:t>
      </w:r>
      <w:r>
        <w:rPr>
          <w:rFonts w:ascii="Times New Roman" w:hAnsi="Times New Roman"/>
          <w:lang w:val="en-GB"/>
        </w:rPr>
        <w:t>‘</w:t>
      </w:r>
      <w:r w:rsidRPr="00D73610">
        <w:rPr>
          <w:rFonts w:ascii="Times New Roman" w:hAnsi="Times New Roman"/>
          <w:bCs/>
          <w:iCs/>
          <w:lang w:val="en-GB"/>
        </w:rPr>
        <w:t>The European Court, Judicial Objectivity and the Constitution of the European Union</w:t>
      </w:r>
      <w:r>
        <w:rPr>
          <w:rFonts w:ascii="Times New Roman" w:hAnsi="Times New Roman"/>
          <w:bCs/>
          <w:iCs/>
          <w:lang w:val="en-GB"/>
        </w:rPr>
        <w:t>’</w:t>
      </w:r>
      <w:r w:rsidRPr="00D73610">
        <w:rPr>
          <w:rFonts w:ascii="Times New Roman" w:hAnsi="Times New Roman"/>
          <w:bCs/>
          <w:iCs/>
          <w:lang w:val="en-GB"/>
        </w:rPr>
        <w:t xml:space="preserve">, </w:t>
      </w:r>
      <w:r w:rsidRPr="00D73610">
        <w:rPr>
          <w:rFonts w:ascii="Times New Roman" w:hAnsi="Times New Roman"/>
          <w:bCs/>
          <w:i/>
          <w:iCs/>
          <w:lang w:val="en-GB"/>
        </w:rPr>
        <w:t>Law Quarterly Review</w:t>
      </w:r>
      <w:r>
        <w:rPr>
          <w:rFonts w:ascii="Times New Roman" w:hAnsi="Times New Roman"/>
          <w:bCs/>
          <w:iCs/>
          <w:lang w:val="en-GB"/>
        </w:rPr>
        <w:t>, 112 (</w:t>
      </w:r>
      <w:r w:rsidRPr="00D73610">
        <w:rPr>
          <w:rFonts w:ascii="Times New Roman" w:hAnsi="Times New Roman"/>
          <w:bCs/>
          <w:iCs/>
          <w:lang w:val="en-GB"/>
        </w:rPr>
        <w:t>1996</w:t>
      </w:r>
      <w:r>
        <w:rPr>
          <w:rFonts w:ascii="Times New Roman" w:hAnsi="Times New Roman"/>
          <w:bCs/>
          <w:iCs/>
          <w:lang w:val="en-GB"/>
        </w:rPr>
        <w:t>)</w:t>
      </w:r>
      <w:r w:rsidRPr="00D73610">
        <w:rPr>
          <w:rFonts w:ascii="Times New Roman" w:hAnsi="Times New Roman"/>
          <w:bCs/>
          <w:iCs/>
          <w:lang w:val="en-GB"/>
        </w:rPr>
        <w:t>, 95</w:t>
      </w:r>
      <w:r w:rsidRPr="00D73610">
        <w:rPr>
          <w:rFonts w:ascii="Times New Roman" w:hAnsi="Times New Roman"/>
          <w:lang w:val="en-GB"/>
        </w:rPr>
        <w:t>–</w:t>
      </w:r>
      <w:r w:rsidRPr="00D73610">
        <w:rPr>
          <w:rFonts w:ascii="Times New Roman" w:hAnsi="Times New Roman"/>
          <w:bCs/>
          <w:iCs/>
          <w:lang w:val="en-GB"/>
        </w:rPr>
        <w:t>109. See more recently R</w:t>
      </w:r>
      <w:r>
        <w:rPr>
          <w:rFonts w:ascii="Times New Roman" w:hAnsi="Times New Roman"/>
          <w:shd w:val="clear" w:color="auto" w:fill="FFFFFF"/>
          <w:lang w:val="en-GB"/>
        </w:rPr>
        <w:t>. Herzog, L. Gerken, ‘</w:t>
      </w:r>
      <w:r w:rsidRPr="00D73610">
        <w:rPr>
          <w:rFonts w:ascii="Times New Roman" w:hAnsi="Times New Roman"/>
          <w:iCs/>
          <w:shd w:val="clear" w:color="auto" w:fill="FFFFFF"/>
          <w:lang w:val="en-GB"/>
        </w:rPr>
        <w:t>Stoppt den Europäischen Gerichtshof</w:t>
      </w:r>
      <w:r>
        <w:rPr>
          <w:rFonts w:ascii="Times New Roman" w:hAnsi="Times New Roman"/>
          <w:iCs/>
          <w:shd w:val="clear" w:color="auto" w:fill="FFFFFF"/>
          <w:lang w:val="en-GB"/>
        </w:rPr>
        <w:t>’</w:t>
      </w:r>
      <w:r w:rsidRPr="00D73610">
        <w:rPr>
          <w:rFonts w:ascii="Times New Roman" w:hAnsi="Times New Roman"/>
          <w:shd w:val="clear" w:color="auto" w:fill="FFFFFF"/>
          <w:lang w:val="en-GB"/>
        </w:rPr>
        <w:t xml:space="preserve">, in </w:t>
      </w:r>
      <w:r w:rsidRPr="00D73610">
        <w:rPr>
          <w:rFonts w:ascii="Times New Roman" w:hAnsi="Times New Roman"/>
          <w:i/>
          <w:iCs/>
          <w:shd w:val="clear" w:color="auto" w:fill="FFFFFF"/>
          <w:lang w:val="en-GB"/>
        </w:rPr>
        <w:t>Frankfurter Allgemeine Zeitung</w:t>
      </w:r>
      <w:r w:rsidRPr="00D73610">
        <w:rPr>
          <w:rFonts w:ascii="Times New Roman" w:hAnsi="Times New Roman"/>
          <w:shd w:val="clear" w:color="auto" w:fill="FFFFFF"/>
          <w:lang w:val="en-GB"/>
        </w:rPr>
        <w:t xml:space="preserve">, 8 September 2008, English translation at </w:t>
      </w:r>
      <w:r w:rsidRPr="0025156A">
        <w:rPr>
          <w:rFonts w:ascii="Times New Roman" w:hAnsi="Times New Roman"/>
          <w:shd w:val="clear" w:color="auto" w:fill="FFFFFF"/>
          <w:lang w:val="en-GB"/>
        </w:rPr>
        <w:t>http://euobserver.com/opinion/26714</w:t>
      </w:r>
      <w:r w:rsidRPr="00D73610">
        <w:rPr>
          <w:rFonts w:ascii="Times New Roman" w:hAnsi="Times New Roman"/>
          <w:shd w:val="clear" w:color="auto" w:fill="FFFFFF"/>
          <w:lang w:val="en-GB"/>
        </w:rPr>
        <w:t xml:space="preserve">: </w:t>
      </w:r>
      <w:r w:rsidRPr="00D73610">
        <w:rPr>
          <w:rFonts w:ascii="Times New Roman" w:hAnsi="Times New Roman"/>
          <w:bCs/>
          <w:lang w:val="en-GB"/>
        </w:rPr>
        <w:t xml:space="preserve">the </w:t>
      </w:r>
      <w:r w:rsidRPr="003D634E">
        <w:rPr>
          <w:rFonts w:ascii="Times New Roman" w:hAnsi="Times New Roman"/>
          <w:bCs/>
          <w:lang w:val="en-GB"/>
        </w:rPr>
        <w:t>Court of Justice</w:t>
      </w:r>
      <w:r w:rsidRPr="00D73610">
        <w:rPr>
          <w:rFonts w:ascii="Times New Roman" w:hAnsi="Times New Roman"/>
          <w:bCs/>
          <w:lang w:val="en-GB"/>
        </w:rPr>
        <w:t xml:space="preserve"> </w:t>
      </w:r>
      <w:r>
        <w:rPr>
          <w:rFonts w:ascii="Times New Roman" w:hAnsi="Times New Roman"/>
          <w:bCs/>
          <w:lang w:val="en-GB"/>
        </w:rPr>
        <w:t>‘</w:t>
      </w:r>
      <w:r w:rsidRPr="00D73610">
        <w:rPr>
          <w:rFonts w:ascii="Times New Roman" w:hAnsi="Times New Roman"/>
          <w:bCs/>
          <w:lang w:val="en-GB"/>
        </w:rPr>
        <w:t>deliberately and systematically ignores fundamental principles of the Western interpretation of law … its decisions are based on sloppy argumentation</w:t>
      </w:r>
      <w:r>
        <w:rPr>
          <w:rFonts w:ascii="Times New Roman" w:hAnsi="Times New Roman"/>
          <w:bCs/>
          <w:lang w:val="en-GB"/>
        </w:rPr>
        <w:t>’</w:t>
      </w:r>
      <w:r w:rsidRPr="00D73610">
        <w:rPr>
          <w:rFonts w:ascii="Times New Roman" w:hAnsi="Times New Roman"/>
          <w:bCs/>
          <w:lang w:val="en-GB"/>
        </w:rPr>
        <w:t>.</w:t>
      </w:r>
    </w:p>
  </w:footnote>
  <w:footnote w:id="39">
    <w:p w:rsidR="005E6612" w:rsidRDefault="005E6612" w:rsidP="00B27D8E">
      <w:pPr>
        <w:pStyle w:val="Testonotaapidipagina"/>
        <w:jc w:val="both"/>
      </w:pPr>
      <w:r w:rsidRPr="00D73610">
        <w:rPr>
          <w:rStyle w:val="Rimandonotaapidipagina"/>
          <w:rFonts w:ascii="Times New Roman" w:hAnsi="Times New Roman"/>
          <w:lang w:val="en-GB"/>
        </w:rPr>
        <w:footnoteRef/>
      </w:r>
      <w:r w:rsidRPr="00CD0778">
        <w:rPr>
          <w:rFonts w:ascii="Times New Roman" w:hAnsi="Times New Roman"/>
          <w:lang w:val="es-ES"/>
        </w:rPr>
        <w:t xml:space="preserve"> E.g. </w:t>
      </w:r>
      <w:r w:rsidRPr="00CD0778">
        <w:rPr>
          <w:rFonts w:ascii="Times New Roman" w:hAnsi="Times New Roman"/>
          <w:bCs/>
          <w:i/>
          <w:iCs/>
          <w:lang w:val="es-ES"/>
        </w:rPr>
        <w:t xml:space="preserve">Costa </w:t>
      </w:r>
      <w:r w:rsidRPr="00CD0778">
        <w:rPr>
          <w:rFonts w:ascii="Times New Roman" w:hAnsi="Times New Roman"/>
          <w:bCs/>
          <w:lang w:val="es-ES"/>
        </w:rPr>
        <w:t xml:space="preserve">[1964], 593; </w:t>
      </w:r>
      <w:r>
        <w:rPr>
          <w:rFonts w:ascii="Times New Roman" w:hAnsi="Times New Roman"/>
          <w:bCs/>
          <w:lang w:val="es-ES"/>
        </w:rPr>
        <w:t>‘</w:t>
      </w:r>
      <w:r w:rsidRPr="00CD0778">
        <w:rPr>
          <w:rFonts w:ascii="Times New Roman" w:hAnsi="Times New Roman"/>
          <w:bCs/>
          <w:lang w:val="es-ES"/>
        </w:rPr>
        <w:t>ERTA</w:t>
      </w:r>
      <w:r>
        <w:rPr>
          <w:rFonts w:ascii="Times New Roman" w:hAnsi="Times New Roman"/>
          <w:bCs/>
          <w:lang w:val="es-ES"/>
        </w:rPr>
        <w:t>’</w:t>
      </w:r>
      <w:r w:rsidRPr="00CD0778">
        <w:rPr>
          <w:rFonts w:ascii="Times New Roman" w:hAnsi="Times New Roman"/>
          <w:bCs/>
          <w:lang w:val="es-ES"/>
        </w:rPr>
        <w:t xml:space="preserve"> [1971], para. </w:t>
      </w:r>
      <w:r w:rsidRPr="00B27D8E">
        <w:rPr>
          <w:rFonts w:ascii="Times New Roman" w:hAnsi="Times New Roman"/>
          <w:bCs/>
          <w:lang w:val="es-ES"/>
        </w:rPr>
        <w:t xml:space="preserve">15; </w:t>
      </w:r>
      <w:r w:rsidRPr="00B27D8E">
        <w:rPr>
          <w:rFonts w:ascii="Times New Roman" w:hAnsi="Times New Roman"/>
          <w:bCs/>
          <w:i/>
          <w:iCs/>
          <w:lang w:val="es-ES"/>
        </w:rPr>
        <w:t>Defrenne II</w:t>
      </w:r>
      <w:r w:rsidRPr="00B27D8E">
        <w:rPr>
          <w:rFonts w:ascii="Times New Roman" w:hAnsi="Times New Roman"/>
          <w:bCs/>
          <w:lang w:val="es-ES"/>
        </w:rPr>
        <w:t xml:space="preserve"> [1976], para. 7.</w:t>
      </w:r>
    </w:p>
  </w:footnote>
  <w:footnote w:id="40">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s-ES"/>
        </w:rPr>
        <w:t xml:space="preserve"> E.g. </w:t>
      </w:r>
      <w:r>
        <w:rPr>
          <w:rFonts w:ascii="Times New Roman" w:hAnsi="Times New Roman"/>
          <w:bCs/>
          <w:lang w:val="es-ES"/>
        </w:rPr>
        <w:t>‘ERTA’</w:t>
      </w:r>
      <w:r w:rsidRPr="00B27D8E">
        <w:rPr>
          <w:rFonts w:ascii="Times New Roman" w:hAnsi="Times New Roman"/>
          <w:bCs/>
          <w:lang w:val="es-ES"/>
        </w:rPr>
        <w:t xml:space="preserve"> [1971], para. 22; </w:t>
      </w:r>
      <w:r w:rsidRPr="00B27D8E">
        <w:rPr>
          <w:rFonts w:ascii="Times New Roman" w:hAnsi="Times New Roman"/>
          <w:bCs/>
          <w:i/>
          <w:iCs/>
          <w:lang w:val="es-ES"/>
        </w:rPr>
        <w:t>Defrenne II</w:t>
      </w:r>
      <w:r w:rsidRPr="00B27D8E">
        <w:rPr>
          <w:rFonts w:ascii="Times New Roman" w:hAnsi="Times New Roman"/>
          <w:bCs/>
          <w:lang w:val="es-ES"/>
        </w:rPr>
        <w:t xml:space="preserve"> [1976], para. 63; </w:t>
      </w:r>
      <w:r w:rsidRPr="00B27D8E">
        <w:rPr>
          <w:rFonts w:ascii="Times New Roman" w:hAnsi="Times New Roman"/>
          <w:bCs/>
          <w:i/>
          <w:iCs/>
          <w:lang w:val="es-ES"/>
        </w:rPr>
        <w:t>CILFIT</w:t>
      </w:r>
      <w:r w:rsidRPr="00B27D8E">
        <w:rPr>
          <w:rFonts w:ascii="Times New Roman" w:hAnsi="Times New Roman"/>
          <w:bCs/>
          <w:lang w:val="es-ES"/>
        </w:rPr>
        <w:t xml:space="preserve"> [1982], para. 10.</w:t>
      </w:r>
    </w:p>
  </w:footnote>
  <w:footnote w:id="41">
    <w:p w:rsidR="005E6612" w:rsidRDefault="005E6612" w:rsidP="00B27D8E">
      <w:pPr>
        <w:pStyle w:val="Testonotaapidipagina"/>
        <w:jc w:val="both"/>
      </w:pPr>
      <w:r w:rsidRPr="00D73610">
        <w:rPr>
          <w:rStyle w:val="Rimandonotaapidipagina"/>
          <w:rFonts w:ascii="Times New Roman" w:hAnsi="Times New Roman"/>
          <w:lang w:val="en-GB"/>
        </w:rPr>
        <w:footnoteRef/>
      </w:r>
      <w:r w:rsidRPr="00CD0778">
        <w:rPr>
          <w:rFonts w:ascii="Times New Roman" w:hAnsi="Times New Roman"/>
          <w:lang w:val="es-ES"/>
        </w:rPr>
        <w:t xml:space="preserve"> </w:t>
      </w:r>
      <w:r w:rsidRPr="00CD0778">
        <w:rPr>
          <w:rFonts w:ascii="Times New Roman" w:hAnsi="Times New Roman"/>
          <w:bCs/>
          <w:lang w:val="es-ES"/>
        </w:rPr>
        <w:t xml:space="preserve">E.g. </w:t>
      </w:r>
      <w:r w:rsidRPr="00CD0778">
        <w:rPr>
          <w:rFonts w:ascii="Times New Roman" w:hAnsi="Times New Roman"/>
          <w:bCs/>
          <w:i/>
          <w:iCs/>
          <w:lang w:val="es-ES"/>
        </w:rPr>
        <w:t xml:space="preserve">Costa </w:t>
      </w:r>
      <w:r w:rsidRPr="00CD0778">
        <w:rPr>
          <w:rFonts w:ascii="Times New Roman" w:hAnsi="Times New Roman"/>
          <w:bCs/>
          <w:lang w:val="es-ES"/>
        </w:rPr>
        <w:t xml:space="preserve">[1964], 594; </w:t>
      </w:r>
      <w:r w:rsidRPr="00CD0778">
        <w:rPr>
          <w:rFonts w:ascii="Times New Roman" w:hAnsi="Times New Roman"/>
          <w:bCs/>
          <w:i/>
          <w:iCs/>
          <w:lang w:val="es-ES"/>
        </w:rPr>
        <w:t>Foto-Frost</w:t>
      </w:r>
      <w:r w:rsidRPr="00CD0778">
        <w:rPr>
          <w:rFonts w:ascii="Times New Roman" w:hAnsi="Times New Roman"/>
          <w:bCs/>
          <w:lang w:val="es-ES"/>
        </w:rPr>
        <w:t xml:space="preserve"> [1987], para. </w:t>
      </w:r>
      <w:r w:rsidRPr="00B27D8E">
        <w:rPr>
          <w:rFonts w:ascii="Times New Roman" w:hAnsi="Times New Roman"/>
          <w:bCs/>
          <w:lang w:val="es-ES"/>
        </w:rPr>
        <w:t xml:space="preserve">16 and 17; </w:t>
      </w:r>
      <w:r w:rsidRPr="00B27D8E">
        <w:rPr>
          <w:rFonts w:ascii="Times New Roman" w:hAnsi="Times New Roman"/>
          <w:lang w:val="es-ES"/>
        </w:rPr>
        <w:t xml:space="preserve">Opinion 1/91 [1991], para. 71; </w:t>
      </w:r>
      <w:r w:rsidRPr="00B27D8E">
        <w:rPr>
          <w:rFonts w:ascii="Times New Roman" w:hAnsi="Times New Roman"/>
          <w:i/>
          <w:iCs/>
          <w:lang w:val="es-ES"/>
        </w:rPr>
        <w:t xml:space="preserve">Kadi </w:t>
      </w:r>
      <w:r w:rsidRPr="00B27D8E">
        <w:rPr>
          <w:rFonts w:ascii="Times New Roman" w:hAnsi="Times New Roman"/>
          <w:lang w:val="es-ES"/>
        </w:rPr>
        <w:t>[2008], para. 309.</w:t>
      </w:r>
    </w:p>
  </w:footnote>
  <w:footnote w:id="42">
    <w:p w:rsidR="005E6612" w:rsidRDefault="005E6612" w:rsidP="00B27D8E">
      <w:pPr>
        <w:pStyle w:val="Testonotaapidipagina"/>
        <w:jc w:val="both"/>
      </w:pPr>
      <w:r w:rsidRPr="00D73610">
        <w:rPr>
          <w:rStyle w:val="Rimandonotaapidipagina"/>
          <w:rFonts w:ascii="Times New Roman" w:hAnsi="Times New Roman"/>
          <w:lang w:val="en-GB"/>
        </w:rPr>
        <w:footnoteRef/>
      </w:r>
      <w:r w:rsidRPr="00CD0778">
        <w:rPr>
          <w:rFonts w:ascii="Times New Roman" w:hAnsi="Times New Roman"/>
          <w:lang w:val="es-ES"/>
        </w:rPr>
        <w:t xml:space="preserve"> E.g. </w:t>
      </w:r>
      <w:r w:rsidRPr="00CD0778">
        <w:rPr>
          <w:rFonts w:ascii="Times New Roman" w:hAnsi="Times New Roman"/>
          <w:bCs/>
          <w:i/>
          <w:iCs/>
          <w:lang w:val="es-ES"/>
        </w:rPr>
        <w:t xml:space="preserve">Costa </w:t>
      </w:r>
      <w:r w:rsidRPr="00CD0778">
        <w:rPr>
          <w:rFonts w:ascii="Times New Roman" w:hAnsi="Times New Roman"/>
          <w:bCs/>
          <w:lang w:val="es-ES"/>
        </w:rPr>
        <w:t xml:space="preserve">[1964], 594; </w:t>
      </w:r>
      <w:r w:rsidRPr="00CD0778">
        <w:rPr>
          <w:rFonts w:ascii="Times New Roman" w:hAnsi="Times New Roman"/>
          <w:i/>
          <w:iCs/>
          <w:lang w:val="es-ES"/>
        </w:rPr>
        <w:t>Grad</w:t>
      </w:r>
      <w:r w:rsidRPr="00CD0778">
        <w:rPr>
          <w:rFonts w:ascii="Times New Roman" w:hAnsi="Times New Roman"/>
          <w:lang w:val="es-ES"/>
        </w:rPr>
        <w:t xml:space="preserve"> [1970], para. </w:t>
      </w:r>
      <w:r w:rsidRPr="00B27D8E">
        <w:rPr>
          <w:rFonts w:ascii="Times New Roman" w:hAnsi="Times New Roman"/>
          <w:lang w:val="es-ES"/>
        </w:rPr>
        <w:t xml:space="preserve">5; </w:t>
      </w:r>
      <w:r w:rsidRPr="00B27D8E">
        <w:rPr>
          <w:rFonts w:ascii="Times New Roman" w:hAnsi="Times New Roman"/>
          <w:i/>
          <w:iCs/>
          <w:lang w:val="es-ES"/>
        </w:rPr>
        <w:t xml:space="preserve">Simmenthal </w:t>
      </w:r>
      <w:r w:rsidRPr="00B27D8E">
        <w:rPr>
          <w:rFonts w:ascii="Times New Roman" w:hAnsi="Times New Roman"/>
          <w:lang w:val="es-ES"/>
        </w:rPr>
        <w:t xml:space="preserve">[1978], para. 18; </w:t>
      </w:r>
      <w:r w:rsidRPr="00B27D8E">
        <w:rPr>
          <w:rFonts w:ascii="Times New Roman" w:hAnsi="Times New Roman"/>
          <w:i/>
          <w:iCs/>
          <w:lang w:val="es-ES"/>
        </w:rPr>
        <w:t xml:space="preserve">Traghetti del Mediterraneo </w:t>
      </w:r>
      <w:r w:rsidRPr="00B27D8E">
        <w:rPr>
          <w:rFonts w:ascii="Times New Roman" w:hAnsi="Times New Roman"/>
          <w:lang w:val="es-ES"/>
        </w:rPr>
        <w:t xml:space="preserve">[2006], para. 36; </w:t>
      </w:r>
      <w:r w:rsidRPr="00B27D8E">
        <w:rPr>
          <w:rFonts w:ascii="Times New Roman" w:hAnsi="Times New Roman"/>
          <w:bCs/>
          <w:i/>
          <w:iCs/>
          <w:lang w:val="es-ES"/>
        </w:rPr>
        <w:t>Advocaten voor de Wereld</w:t>
      </w:r>
      <w:r w:rsidRPr="00B27D8E">
        <w:rPr>
          <w:rFonts w:ascii="Times New Roman" w:hAnsi="Times New Roman"/>
          <w:bCs/>
          <w:lang w:val="es-ES"/>
        </w:rPr>
        <w:t xml:space="preserve"> [2007], para. </w:t>
      </w:r>
      <w:r w:rsidRPr="00D73610">
        <w:rPr>
          <w:rFonts w:ascii="Times New Roman" w:hAnsi="Times New Roman"/>
          <w:bCs/>
          <w:lang w:val="en-GB"/>
        </w:rPr>
        <w:t xml:space="preserve">42; </w:t>
      </w:r>
      <w:r w:rsidRPr="00D73610">
        <w:rPr>
          <w:rFonts w:ascii="Times New Roman" w:hAnsi="Times New Roman"/>
          <w:bCs/>
          <w:i/>
          <w:iCs/>
          <w:lang w:val="en-GB"/>
        </w:rPr>
        <w:t xml:space="preserve">Laval </w:t>
      </w:r>
      <w:r w:rsidRPr="00D73610">
        <w:rPr>
          <w:rFonts w:ascii="Times New Roman" w:hAnsi="Times New Roman"/>
          <w:bCs/>
          <w:lang w:val="en-GB"/>
        </w:rPr>
        <w:t xml:space="preserve">[2007], </w:t>
      </w:r>
      <w:r>
        <w:rPr>
          <w:rFonts w:ascii="Times New Roman" w:hAnsi="Times New Roman"/>
          <w:bCs/>
          <w:lang w:val="en-GB"/>
        </w:rPr>
        <w:t>para.</w:t>
      </w:r>
      <w:r w:rsidRPr="00D73610">
        <w:rPr>
          <w:rFonts w:ascii="Times New Roman" w:hAnsi="Times New Roman"/>
          <w:bCs/>
          <w:lang w:val="en-GB"/>
        </w:rPr>
        <w:t xml:space="preserve"> 98.</w:t>
      </w:r>
    </w:p>
  </w:footnote>
  <w:footnote w:id="43">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E.g., </w:t>
      </w:r>
      <w:r>
        <w:rPr>
          <w:rFonts w:ascii="Times New Roman" w:hAnsi="Times New Roman"/>
          <w:bCs/>
          <w:lang w:val="en-GB"/>
        </w:rPr>
        <w:t>‘ERTA’</w:t>
      </w:r>
      <w:r w:rsidRPr="00D73610">
        <w:rPr>
          <w:rFonts w:ascii="Times New Roman" w:hAnsi="Times New Roman"/>
          <w:bCs/>
          <w:lang w:val="en-GB"/>
        </w:rPr>
        <w:t xml:space="preserve"> [1971], </w:t>
      </w:r>
      <w:r>
        <w:rPr>
          <w:rFonts w:ascii="Times New Roman" w:hAnsi="Times New Roman"/>
          <w:bCs/>
          <w:lang w:val="en-GB"/>
        </w:rPr>
        <w:t>para.</w:t>
      </w:r>
      <w:r w:rsidRPr="00D73610">
        <w:rPr>
          <w:rFonts w:ascii="Times New Roman" w:hAnsi="Times New Roman"/>
          <w:bCs/>
          <w:lang w:val="en-GB"/>
        </w:rPr>
        <w:t xml:space="preserve"> 14 (</w:t>
      </w:r>
      <w:r>
        <w:rPr>
          <w:rFonts w:ascii="Times New Roman" w:hAnsi="Times New Roman"/>
          <w:bCs/>
          <w:lang w:val="en-GB"/>
        </w:rPr>
        <w:t>‘</w:t>
      </w:r>
      <w:r w:rsidRPr="00D73610">
        <w:rPr>
          <w:rFonts w:ascii="Times New Roman" w:hAnsi="Times New Roman"/>
          <w:bCs/>
          <w:iCs/>
          <w:lang w:val="en-GB"/>
        </w:rPr>
        <w:t xml:space="preserve">this provision, placed at the head of part six of the Treaty, devoted to </w:t>
      </w:r>
      <w:r>
        <w:rPr>
          <w:rFonts w:ascii="Times New Roman" w:hAnsi="Times New Roman"/>
          <w:bCs/>
          <w:iCs/>
          <w:lang w:val="en-GB"/>
        </w:rPr>
        <w:t>“</w:t>
      </w:r>
      <w:r w:rsidRPr="00D73610">
        <w:rPr>
          <w:rFonts w:ascii="Times New Roman" w:hAnsi="Times New Roman"/>
          <w:bCs/>
          <w:iCs/>
          <w:lang w:val="en-GB"/>
        </w:rPr>
        <w:t>general and final provisions</w:t>
      </w:r>
      <w:r>
        <w:rPr>
          <w:rFonts w:ascii="Times New Roman" w:hAnsi="Times New Roman"/>
          <w:bCs/>
          <w:iCs/>
          <w:lang w:val="en-GB"/>
        </w:rPr>
        <w:t>”</w:t>
      </w:r>
      <w:r w:rsidRPr="00D73610">
        <w:rPr>
          <w:rFonts w:ascii="Times New Roman" w:hAnsi="Times New Roman"/>
          <w:bCs/>
          <w:iCs/>
          <w:lang w:val="en-GB"/>
        </w:rPr>
        <w:t>, means that…</w:t>
      </w:r>
      <w:r>
        <w:rPr>
          <w:rFonts w:ascii="Times New Roman" w:hAnsi="Times New Roman"/>
          <w:bCs/>
          <w:iCs/>
          <w:lang w:val="en-GB"/>
        </w:rPr>
        <w:t>’</w:t>
      </w:r>
      <w:r w:rsidRPr="00D73610">
        <w:rPr>
          <w:rFonts w:ascii="Times New Roman" w:hAnsi="Times New Roman"/>
          <w:bCs/>
          <w:iCs/>
          <w:lang w:val="en-GB"/>
        </w:rPr>
        <w:t xml:space="preserve">); </w:t>
      </w:r>
      <w:r w:rsidRPr="00D73610">
        <w:rPr>
          <w:rFonts w:ascii="Times New Roman" w:hAnsi="Times New Roman"/>
          <w:bCs/>
          <w:i/>
          <w:iCs/>
          <w:lang w:val="en-GB"/>
        </w:rPr>
        <w:t>Defrenne II</w:t>
      </w:r>
      <w:r w:rsidRPr="00D73610">
        <w:rPr>
          <w:rFonts w:ascii="Times New Roman" w:hAnsi="Times New Roman"/>
          <w:bCs/>
          <w:lang w:val="en-GB"/>
        </w:rPr>
        <w:t xml:space="preserve"> [1976], </w:t>
      </w:r>
      <w:r>
        <w:rPr>
          <w:rFonts w:ascii="Times New Roman" w:hAnsi="Times New Roman"/>
          <w:bCs/>
          <w:lang w:val="en-GB"/>
        </w:rPr>
        <w:t>para.</w:t>
      </w:r>
      <w:r w:rsidRPr="00D73610">
        <w:rPr>
          <w:rFonts w:ascii="Times New Roman" w:hAnsi="Times New Roman"/>
          <w:bCs/>
          <w:lang w:val="en-GB"/>
        </w:rPr>
        <w:t xml:space="preserve"> 15 (</w:t>
      </w:r>
      <w:r>
        <w:rPr>
          <w:rFonts w:ascii="Times New Roman" w:hAnsi="Times New Roman"/>
          <w:bCs/>
          <w:lang w:val="en-GB"/>
        </w:rPr>
        <w:t>‘</w:t>
      </w:r>
      <w:r w:rsidRPr="00D73610">
        <w:rPr>
          <w:rFonts w:ascii="Times New Roman" w:hAnsi="Times New Roman"/>
          <w:bCs/>
          <w:iCs/>
          <w:lang w:val="en-GB"/>
        </w:rPr>
        <w:t>since article 119 appears in the context of the harmonization of working conditions…</w:t>
      </w:r>
      <w:r>
        <w:rPr>
          <w:rFonts w:ascii="Times New Roman" w:hAnsi="Times New Roman"/>
          <w:bCs/>
          <w:iCs/>
          <w:lang w:val="en-GB"/>
        </w:rPr>
        <w:t>’</w:t>
      </w:r>
      <w:r w:rsidRPr="00D73610">
        <w:rPr>
          <w:rFonts w:ascii="Times New Roman" w:hAnsi="Times New Roman"/>
          <w:bCs/>
          <w:iCs/>
          <w:lang w:val="en-GB"/>
        </w:rPr>
        <w:t xml:space="preserve">); </w:t>
      </w:r>
      <w:r w:rsidRPr="00D73610">
        <w:rPr>
          <w:rFonts w:ascii="Times New Roman" w:hAnsi="Times New Roman"/>
          <w:i/>
          <w:iCs/>
          <w:lang w:val="en-GB"/>
        </w:rPr>
        <w:t>Van Gend en Loos</w:t>
      </w:r>
      <w:r w:rsidRPr="00D73610">
        <w:rPr>
          <w:rFonts w:ascii="Times New Roman" w:hAnsi="Times New Roman"/>
          <w:lang w:val="en-GB"/>
        </w:rPr>
        <w:t xml:space="preserve"> [1963], 12</w:t>
      </w:r>
      <w:r w:rsidRPr="00D73610">
        <w:rPr>
          <w:rFonts w:ascii="Times New Roman" w:hAnsi="Times New Roman"/>
          <w:bCs/>
          <w:lang w:val="en-GB"/>
        </w:rPr>
        <w:t xml:space="preserve"> (</w:t>
      </w:r>
      <w:r>
        <w:rPr>
          <w:rFonts w:ascii="Times New Roman" w:hAnsi="Times New Roman"/>
          <w:bCs/>
          <w:lang w:val="en-GB"/>
        </w:rPr>
        <w:t>‘</w:t>
      </w:r>
      <w:r w:rsidRPr="00D73610">
        <w:rPr>
          <w:rFonts w:ascii="Times New Roman" w:hAnsi="Times New Roman"/>
          <w:lang w:val="en-GB"/>
        </w:rPr>
        <w:t>This provision is found at the beginning of the part of the Treaty…</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iCs/>
          <w:lang w:val="en-GB"/>
        </w:rPr>
        <w:t>Costa</w:t>
      </w:r>
      <w:r w:rsidRPr="00D73610">
        <w:rPr>
          <w:rFonts w:ascii="Times New Roman" w:hAnsi="Times New Roman"/>
          <w:lang w:val="en-GB"/>
        </w:rPr>
        <w:t xml:space="preserve"> [1964], 595 (</w:t>
      </w:r>
      <w:r>
        <w:rPr>
          <w:rFonts w:ascii="Times New Roman" w:hAnsi="Times New Roman"/>
          <w:lang w:val="en-GB"/>
        </w:rPr>
        <w:t>‘</w:t>
      </w:r>
      <w:r w:rsidRPr="00D73610">
        <w:rPr>
          <w:rFonts w:ascii="Times New Roman" w:hAnsi="Times New Roman"/>
          <w:lang w:val="en-GB"/>
        </w:rPr>
        <w:t xml:space="preserve">This article, placed </w:t>
      </w:r>
      <w:r>
        <w:rPr>
          <w:rFonts w:ascii="Times New Roman" w:hAnsi="Times New Roman"/>
          <w:lang w:val="en-GB"/>
        </w:rPr>
        <w:t>in the chapter devoted to the “</w:t>
      </w:r>
      <w:r w:rsidRPr="00D73610">
        <w:rPr>
          <w:rFonts w:ascii="Times New Roman" w:hAnsi="Times New Roman"/>
          <w:lang w:val="en-GB"/>
        </w:rPr>
        <w:t>approximation of laws</w:t>
      </w:r>
      <w:r>
        <w:rPr>
          <w:rFonts w:ascii="Times New Roman" w:hAnsi="Times New Roman"/>
          <w:lang w:val="en-GB"/>
        </w:rPr>
        <w:t>”</w:t>
      </w:r>
      <w:r w:rsidRPr="00D73610">
        <w:rPr>
          <w:rFonts w:ascii="Times New Roman" w:hAnsi="Times New Roman"/>
          <w:lang w:val="en-GB"/>
        </w:rPr>
        <w:t>, is designed to…</w:t>
      </w:r>
      <w:r>
        <w:rPr>
          <w:rFonts w:ascii="Times New Roman" w:hAnsi="Times New Roman"/>
          <w:lang w:val="en-GB"/>
        </w:rPr>
        <w:t>’</w:t>
      </w:r>
      <w:r w:rsidRPr="00D73610">
        <w:rPr>
          <w:rFonts w:ascii="Times New Roman" w:hAnsi="Times New Roman"/>
          <w:lang w:val="en-GB"/>
        </w:rPr>
        <w:t>).</w:t>
      </w:r>
    </w:p>
  </w:footnote>
  <w:footnote w:id="44">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Case C-4/73, </w:t>
      </w:r>
      <w:r w:rsidRPr="00D73610">
        <w:rPr>
          <w:rFonts w:ascii="Times New Roman" w:hAnsi="Times New Roman"/>
          <w:i/>
          <w:iCs/>
          <w:lang w:val="en-GB"/>
        </w:rPr>
        <w:t xml:space="preserve">Nold </w:t>
      </w:r>
      <w:r w:rsidRPr="00D73610">
        <w:rPr>
          <w:rFonts w:ascii="Times New Roman" w:hAnsi="Times New Roman"/>
          <w:lang w:val="en-GB"/>
        </w:rPr>
        <w:t xml:space="preserve">[1974] ECR 491, </w:t>
      </w:r>
      <w:r>
        <w:rPr>
          <w:rFonts w:ascii="Times New Roman" w:hAnsi="Times New Roman"/>
          <w:lang w:val="en-GB"/>
        </w:rPr>
        <w:t>para.</w:t>
      </w:r>
      <w:r w:rsidRPr="00D73610">
        <w:rPr>
          <w:rFonts w:ascii="Times New Roman" w:hAnsi="Times New Roman"/>
          <w:lang w:val="en-GB"/>
        </w:rPr>
        <w:t xml:space="preserve"> 13. See, e.g., </w:t>
      </w:r>
      <w:r w:rsidRPr="00D73610">
        <w:rPr>
          <w:rFonts w:ascii="Times New Roman" w:hAnsi="Times New Roman"/>
          <w:bCs/>
          <w:i/>
          <w:iCs/>
          <w:lang w:val="en-GB"/>
        </w:rPr>
        <w:t>Hauer</w:t>
      </w:r>
      <w:r w:rsidRPr="00D73610">
        <w:rPr>
          <w:rFonts w:ascii="Times New Roman" w:hAnsi="Times New Roman"/>
          <w:bCs/>
          <w:lang w:val="en-GB"/>
        </w:rPr>
        <w:t xml:space="preserve"> [1979], </w:t>
      </w:r>
      <w:r>
        <w:rPr>
          <w:rFonts w:ascii="Times New Roman" w:hAnsi="Times New Roman"/>
          <w:bCs/>
          <w:lang w:val="en-GB"/>
        </w:rPr>
        <w:t>para.</w:t>
      </w:r>
      <w:r w:rsidRPr="00D73610">
        <w:rPr>
          <w:rFonts w:ascii="Times New Roman" w:hAnsi="Times New Roman"/>
          <w:bCs/>
          <w:lang w:val="en-GB"/>
        </w:rPr>
        <w:t xml:space="preserve"> </w:t>
      </w:r>
      <w:r w:rsidRPr="00B27D8E">
        <w:rPr>
          <w:rFonts w:ascii="Times New Roman" w:hAnsi="Times New Roman"/>
          <w:bCs/>
          <w:lang w:val="es-ES"/>
        </w:rPr>
        <w:t xml:space="preserve">15; </w:t>
      </w:r>
      <w:r w:rsidRPr="00B27D8E">
        <w:rPr>
          <w:rFonts w:ascii="Times New Roman" w:hAnsi="Times New Roman"/>
          <w:bCs/>
          <w:i/>
          <w:iCs/>
          <w:lang w:val="es-ES"/>
        </w:rPr>
        <w:t>Wachauf</w:t>
      </w:r>
      <w:r w:rsidRPr="00B27D8E">
        <w:rPr>
          <w:rFonts w:ascii="Times New Roman" w:hAnsi="Times New Roman"/>
          <w:bCs/>
          <w:lang w:val="es-ES"/>
        </w:rPr>
        <w:t xml:space="preserve"> [1989], para. 17; </w:t>
      </w:r>
      <w:r w:rsidRPr="00B27D8E">
        <w:rPr>
          <w:rFonts w:ascii="Times New Roman" w:hAnsi="Times New Roman"/>
          <w:bCs/>
          <w:i/>
          <w:iCs/>
          <w:lang w:val="es-ES"/>
        </w:rPr>
        <w:t>ERT</w:t>
      </w:r>
      <w:r w:rsidRPr="00B27D8E">
        <w:rPr>
          <w:rFonts w:ascii="Times New Roman" w:hAnsi="Times New Roman"/>
          <w:bCs/>
          <w:lang w:val="es-ES"/>
        </w:rPr>
        <w:t xml:space="preserve"> [1991], para. 41; </w:t>
      </w:r>
      <w:r w:rsidRPr="00B27D8E">
        <w:rPr>
          <w:rFonts w:ascii="Times New Roman" w:hAnsi="Times New Roman"/>
          <w:bCs/>
          <w:i/>
          <w:iCs/>
          <w:lang w:val="es-ES"/>
        </w:rPr>
        <w:t>Viking</w:t>
      </w:r>
      <w:r w:rsidRPr="00B27D8E">
        <w:rPr>
          <w:rFonts w:ascii="Times New Roman" w:hAnsi="Times New Roman"/>
          <w:bCs/>
          <w:lang w:val="es-ES"/>
        </w:rPr>
        <w:t xml:space="preserve"> [2007], para. 43; </w:t>
      </w:r>
      <w:r w:rsidRPr="00B27D8E">
        <w:rPr>
          <w:rFonts w:ascii="Times New Roman" w:hAnsi="Times New Roman"/>
          <w:bCs/>
          <w:i/>
          <w:iCs/>
          <w:lang w:val="es-ES"/>
        </w:rPr>
        <w:t xml:space="preserve">Laval </w:t>
      </w:r>
      <w:r w:rsidRPr="00B27D8E">
        <w:rPr>
          <w:rFonts w:ascii="Times New Roman" w:hAnsi="Times New Roman"/>
          <w:bCs/>
          <w:lang w:val="es-ES"/>
        </w:rPr>
        <w:t xml:space="preserve">[2007], para. 90; </w:t>
      </w:r>
      <w:r w:rsidRPr="00B27D8E">
        <w:rPr>
          <w:rFonts w:ascii="Times New Roman" w:hAnsi="Times New Roman"/>
          <w:bCs/>
          <w:i/>
          <w:iCs/>
          <w:lang w:val="es-ES"/>
        </w:rPr>
        <w:t>Kadi</w:t>
      </w:r>
      <w:r w:rsidRPr="00B27D8E">
        <w:rPr>
          <w:rFonts w:ascii="Times New Roman" w:hAnsi="Times New Roman"/>
          <w:bCs/>
          <w:lang w:val="es-ES"/>
        </w:rPr>
        <w:t xml:space="preserve"> [2008], para. 283.</w:t>
      </w:r>
    </w:p>
  </w:footnote>
  <w:footnote w:id="45">
    <w:p w:rsidR="005E6612" w:rsidRDefault="005E6612" w:rsidP="00B27D8E">
      <w:pPr>
        <w:pStyle w:val="Testonotaapidipagina"/>
        <w:jc w:val="both"/>
      </w:pPr>
      <w:r w:rsidRPr="00D73610">
        <w:rPr>
          <w:rStyle w:val="Rimandonotaapidipagina"/>
          <w:rFonts w:ascii="Times New Roman" w:hAnsi="Times New Roman"/>
          <w:lang w:val="en-GB"/>
        </w:rPr>
        <w:footnoteRef/>
      </w:r>
      <w:r w:rsidRPr="00CD0778">
        <w:rPr>
          <w:rFonts w:ascii="Times New Roman" w:hAnsi="Times New Roman"/>
          <w:lang w:val="es-ES"/>
        </w:rPr>
        <w:t xml:space="preserve"> </w:t>
      </w:r>
      <w:r w:rsidRPr="00CD0778">
        <w:rPr>
          <w:rFonts w:ascii="Times New Roman" w:hAnsi="Times New Roman"/>
          <w:i/>
          <w:iCs/>
          <w:lang w:val="es-ES"/>
        </w:rPr>
        <w:t>Hauer</w:t>
      </w:r>
      <w:r w:rsidRPr="00CD0778">
        <w:rPr>
          <w:rFonts w:ascii="Times New Roman" w:hAnsi="Times New Roman"/>
          <w:lang w:val="es-ES"/>
        </w:rPr>
        <w:t xml:space="preserve"> [1979], para. 17; </w:t>
      </w:r>
      <w:r w:rsidRPr="00CD0778">
        <w:rPr>
          <w:rFonts w:ascii="Times New Roman" w:hAnsi="Times New Roman"/>
          <w:i/>
          <w:iCs/>
          <w:lang w:val="es-ES"/>
        </w:rPr>
        <w:t>ERT</w:t>
      </w:r>
      <w:r w:rsidRPr="00CD0778">
        <w:rPr>
          <w:rFonts w:ascii="Times New Roman" w:hAnsi="Times New Roman"/>
          <w:lang w:val="es-ES"/>
        </w:rPr>
        <w:t xml:space="preserve"> [1991], para. 41; </w:t>
      </w:r>
      <w:r w:rsidRPr="00CD0778">
        <w:rPr>
          <w:rFonts w:ascii="Times New Roman" w:hAnsi="Times New Roman"/>
          <w:i/>
          <w:iCs/>
          <w:lang w:val="es-ES"/>
        </w:rPr>
        <w:t>Bosman</w:t>
      </w:r>
      <w:r w:rsidRPr="00CD0778">
        <w:rPr>
          <w:rFonts w:ascii="Times New Roman" w:hAnsi="Times New Roman"/>
          <w:lang w:val="es-ES"/>
        </w:rPr>
        <w:t xml:space="preserve"> [1995], para. </w:t>
      </w:r>
      <w:r w:rsidRPr="00B27D8E">
        <w:rPr>
          <w:rFonts w:ascii="Times New Roman" w:hAnsi="Times New Roman"/>
          <w:lang w:val="es-ES"/>
        </w:rPr>
        <w:t xml:space="preserve">79; </w:t>
      </w:r>
      <w:r w:rsidRPr="00B27D8E">
        <w:rPr>
          <w:rFonts w:ascii="Times New Roman" w:hAnsi="Times New Roman"/>
          <w:i/>
          <w:iCs/>
          <w:lang w:val="es-ES"/>
        </w:rPr>
        <w:t>Pupino</w:t>
      </w:r>
      <w:r w:rsidRPr="00B27D8E">
        <w:rPr>
          <w:rFonts w:ascii="Times New Roman" w:hAnsi="Times New Roman"/>
          <w:lang w:val="es-ES"/>
        </w:rPr>
        <w:t xml:space="preserve"> [2005], para. 58; </w:t>
      </w:r>
      <w:r w:rsidRPr="00B27D8E">
        <w:rPr>
          <w:rFonts w:ascii="Times New Roman" w:hAnsi="Times New Roman"/>
          <w:i/>
          <w:iCs/>
          <w:lang w:val="es-ES"/>
        </w:rPr>
        <w:t xml:space="preserve">Advocaten voor de Wereld </w:t>
      </w:r>
      <w:r w:rsidRPr="00B27D8E">
        <w:rPr>
          <w:rFonts w:ascii="Times New Roman" w:hAnsi="Times New Roman"/>
          <w:lang w:val="es-ES"/>
        </w:rPr>
        <w:t xml:space="preserve">[2007], para. 45 and 49; </w:t>
      </w:r>
      <w:r w:rsidRPr="00B27D8E">
        <w:rPr>
          <w:rFonts w:ascii="Times New Roman" w:hAnsi="Times New Roman"/>
          <w:i/>
          <w:iCs/>
          <w:lang w:val="es-ES"/>
        </w:rPr>
        <w:t>Viking</w:t>
      </w:r>
      <w:r w:rsidRPr="00B27D8E">
        <w:rPr>
          <w:rFonts w:ascii="Times New Roman" w:hAnsi="Times New Roman"/>
          <w:lang w:val="es-ES"/>
        </w:rPr>
        <w:t xml:space="preserve"> [2007], para. 43.</w:t>
      </w:r>
    </w:p>
  </w:footnote>
  <w:footnote w:id="46">
    <w:p w:rsidR="005E6612" w:rsidRDefault="005E6612" w:rsidP="00B27D8E">
      <w:pPr>
        <w:pStyle w:val="Testonotaapidipagina"/>
        <w:jc w:val="both"/>
      </w:pPr>
      <w:r w:rsidRPr="00D73610">
        <w:rPr>
          <w:rStyle w:val="Rimandonotaapidipagina"/>
          <w:rFonts w:ascii="Times New Roman" w:hAnsi="Times New Roman"/>
          <w:lang w:val="en-GB"/>
        </w:rPr>
        <w:footnoteRef/>
      </w:r>
      <w:r w:rsidRPr="00CD0778">
        <w:rPr>
          <w:rFonts w:ascii="Times New Roman" w:hAnsi="Times New Roman"/>
          <w:lang w:val="es-ES"/>
        </w:rPr>
        <w:t xml:space="preserve"> </w:t>
      </w:r>
      <w:r w:rsidRPr="00CD0778">
        <w:rPr>
          <w:rFonts w:ascii="Times New Roman" w:hAnsi="Times New Roman"/>
          <w:bCs/>
          <w:i/>
          <w:iCs/>
          <w:lang w:val="es-ES"/>
        </w:rPr>
        <w:t>Köbler</w:t>
      </w:r>
      <w:r w:rsidRPr="00CD0778">
        <w:rPr>
          <w:rFonts w:ascii="Times New Roman" w:hAnsi="Times New Roman"/>
          <w:bCs/>
          <w:lang w:val="es-ES"/>
        </w:rPr>
        <w:t xml:space="preserve"> [2003], para. 49; </w:t>
      </w:r>
      <w:r w:rsidRPr="00CD0778">
        <w:rPr>
          <w:rFonts w:ascii="Times New Roman" w:hAnsi="Times New Roman"/>
          <w:i/>
          <w:iCs/>
          <w:lang w:val="es-ES"/>
        </w:rPr>
        <w:t>Pupino</w:t>
      </w:r>
      <w:r w:rsidRPr="00CD0778">
        <w:rPr>
          <w:rFonts w:ascii="Times New Roman" w:hAnsi="Times New Roman"/>
          <w:lang w:val="es-ES"/>
        </w:rPr>
        <w:t xml:space="preserve"> [2005], para. 60; </w:t>
      </w:r>
      <w:r w:rsidRPr="00CD0778">
        <w:rPr>
          <w:rFonts w:ascii="Times New Roman" w:hAnsi="Times New Roman"/>
          <w:i/>
          <w:iCs/>
          <w:lang w:val="es-ES"/>
        </w:rPr>
        <w:t xml:space="preserve">Advocaten voor de Wereld </w:t>
      </w:r>
      <w:r w:rsidRPr="00CD0778">
        <w:rPr>
          <w:rFonts w:ascii="Times New Roman" w:hAnsi="Times New Roman"/>
          <w:lang w:val="es-ES"/>
        </w:rPr>
        <w:t xml:space="preserve">[2007], para. 50; </w:t>
      </w:r>
      <w:r w:rsidRPr="00CD0778">
        <w:rPr>
          <w:rFonts w:ascii="Times New Roman" w:hAnsi="Times New Roman"/>
          <w:bCs/>
          <w:i/>
          <w:iCs/>
          <w:lang w:val="es-ES"/>
        </w:rPr>
        <w:t>Kadi</w:t>
      </w:r>
      <w:r w:rsidRPr="00CD0778">
        <w:rPr>
          <w:rFonts w:ascii="Times New Roman" w:hAnsi="Times New Roman"/>
          <w:bCs/>
          <w:lang w:val="es-ES"/>
        </w:rPr>
        <w:t xml:space="preserve"> [2008], para. 256 and 311.</w:t>
      </w:r>
    </w:p>
  </w:footnote>
  <w:footnote w:id="47">
    <w:p w:rsidR="005E6612" w:rsidRDefault="005E6612" w:rsidP="00B27D8E">
      <w:pPr>
        <w:pStyle w:val="Testonotaapidipagina"/>
        <w:jc w:val="both"/>
      </w:pPr>
      <w:r w:rsidRPr="00D73610">
        <w:rPr>
          <w:rStyle w:val="Rimandonotaapidipagina"/>
          <w:rFonts w:ascii="Times New Roman" w:hAnsi="Times New Roman"/>
          <w:lang w:val="en-GB"/>
        </w:rPr>
        <w:footnoteRef/>
      </w:r>
      <w:r w:rsidRPr="00CD0778">
        <w:rPr>
          <w:rFonts w:ascii="Times New Roman" w:hAnsi="Times New Roman"/>
          <w:lang w:val="es-ES"/>
        </w:rPr>
        <w:t xml:space="preserve"> </w:t>
      </w:r>
      <w:r w:rsidRPr="00CD0778">
        <w:rPr>
          <w:rFonts w:ascii="Times New Roman" w:hAnsi="Times New Roman"/>
          <w:i/>
          <w:iCs/>
          <w:lang w:val="es-ES"/>
        </w:rPr>
        <w:t>Defrenne II</w:t>
      </w:r>
      <w:r w:rsidRPr="00CD0778">
        <w:rPr>
          <w:rFonts w:ascii="Times New Roman" w:hAnsi="Times New Roman"/>
          <w:lang w:val="es-ES"/>
        </w:rPr>
        <w:t xml:space="preserve"> [1976], para. 20; </w:t>
      </w:r>
      <w:r w:rsidRPr="00CD0778">
        <w:rPr>
          <w:rFonts w:ascii="Times New Roman" w:hAnsi="Times New Roman"/>
          <w:i/>
          <w:iCs/>
          <w:lang w:val="es-ES"/>
        </w:rPr>
        <w:t>Viking</w:t>
      </w:r>
      <w:r w:rsidRPr="00CD0778">
        <w:rPr>
          <w:rFonts w:ascii="Times New Roman" w:hAnsi="Times New Roman"/>
          <w:lang w:val="es-ES"/>
        </w:rPr>
        <w:t xml:space="preserve"> [2007], para. 43; </w:t>
      </w:r>
      <w:r w:rsidRPr="00CD0778">
        <w:rPr>
          <w:rFonts w:ascii="Times New Roman" w:hAnsi="Times New Roman"/>
          <w:bCs/>
          <w:i/>
          <w:iCs/>
          <w:lang w:val="es-ES"/>
        </w:rPr>
        <w:t xml:space="preserve">Laval </w:t>
      </w:r>
      <w:r w:rsidRPr="00CD0778">
        <w:rPr>
          <w:rFonts w:ascii="Times New Roman" w:hAnsi="Times New Roman"/>
          <w:bCs/>
          <w:lang w:val="es-ES"/>
        </w:rPr>
        <w:t xml:space="preserve">[2007], para. </w:t>
      </w:r>
      <w:r w:rsidRPr="00B27D8E">
        <w:rPr>
          <w:rFonts w:ascii="Times New Roman" w:hAnsi="Times New Roman"/>
          <w:bCs/>
          <w:lang w:val="es-ES"/>
        </w:rPr>
        <w:t>90.</w:t>
      </w:r>
    </w:p>
  </w:footnote>
  <w:footnote w:id="48">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s-ES"/>
        </w:rPr>
        <w:t xml:space="preserve"> </w:t>
      </w:r>
      <w:r w:rsidRPr="00B27D8E">
        <w:rPr>
          <w:rFonts w:ascii="Times New Roman" w:hAnsi="Times New Roman"/>
          <w:i/>
          <w:iCs/>
          <w:lang w:val="es-ES"/>
        </w:rPr>
        <w:t xml:space="preserve">Van Duyn </w:t>
      </w:r>
      <w:r w:rsidRPr="00B27D8E">
        <w:rPr>
          <w:rFonts w:ascii="Times New Roman" w:hAnsi="Times New Roman"/>
          <w:lang w:val="es-ES"/>
        </w:rPr>
        <w:t xml:space="preserve">[1974], para. 22; </w:t>
      </w:r>
      <w:r w:rsidRPr="00B27D8E">
        <w:rPr>
          <w:rFonts w:ascii="Times New Roman" w:hAnsi="Times New Roman"/>
          <w:i/>
          <w:lang w:val="es-ES"/>
        </w:rPr>
        <w:t xml:space="preserve">Brasserie du Pêcheur </w:t>
      </w:r>
      <w:r w:rsidRPr="00B27D8E">
        <w:rPr>
          <w:rFonts w:ascii="Times New Roman" w:hAnsi="Times New Roman"/>
          <w:iCs/>
          <w:lang w:val="es-ES"/>
        </w:rPr>
        <w:t xml:space="preserve">[1996], para. 34; </w:t>
      </w:r>
      <w:r w:rsidRPr="00B27D8E">
        <w:rPr>
          <w:rFonts w:ascii="Times New Roman" w:hAnsi="Times New Roman"/>
          <w:i/>
          <w:lang w:val="es-ES"/>
        </w:rPr>
        <w:t>Köbler</w:t>
      </w:r>
      <w:r w:rsidRPr="00B27D8E">
        <w:rPr>
          <w:rFonts w:ascii="Times New Roman" w:hAnsi="Times New Roman"/>
          <w:iCs/>
          <w:lang w:val="es-ES"/>
        </w:rPr>
        <w:t xml:space="preserve"> [2003], para. </w:t>
      </w:r>
      <w:r w:rsidRPr="00D73610">
        <w:rPr>
          <w:rFonts w:ascii="Times New Roman" w:hAnsi="Times New Roman"/>
          <w:iCs/>
          <w:lang w:val="en-GB"/>
        </w:rPr>
        <w:t>32.</w:t>
      </w:r>
    </w:p>
  </w:footnote>
  <w:footnote w:id="49">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Case C-4/54, </w:t>
      </w:r>
      <w:r w:rsidRPr="00D73610">
        <w:rPr>
          <w:rFonts w:ascii="Times New Roman" w:hAnsi="Times New Roman"/>
          <w:i/>
          <w:iCs/>
          <w:lang w:val="en-GB"/>
        </w:rPr>
        <w:t>Industrie Siderurgiche Associate</w:t>
      </w:r>
      <w:r w:rsidRPr="00D73610">
        <w:rPr>
          <w:rFonts w:ascii="Times New Roman" w:hAnsi="Times New Roman"/>
          <w:lang w:val="en-GB"/>
        </w:rPr>
        <w:t xml:space="preserve"> [1955] ECR 91.</w:t>
      </w:r>
    </w:p>
  </w:footnote>
  <w:footnote w:id="50">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Joined Cases C-7 and C-9/54, </w:t>
      </w:r>
      <w:r w:rsidRPr="00D73610">
        <w:rPr>
          <w:rFonts w:ascii="Times New Roman" w:hAnsi="Times New Roman"/>
          <w:i/>
          <w:iCs/>
          <w:lang w:val="en-GB"/>
        </w:rPr>
        <w:t>Groupement des industries</w:t>
      </w:r>
      <w:r w:rsidRPr="00D73610">
        <w:rPr>
          <w:rFonts w:ascii="Times New Roman" w:hAnsi="Times New Roman"/>
          <w:lang w:val="en-GB"/>
        </w:rPr>
        <w:t xml:space="preserve"> [1956] ECR 175.</w:t>
      </w:r>
    </w:p>
  </w:footnote>
  <w:footnote w:id="51">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Schermers, Waelbroeck, </w:t>
      </w:r>
      <w:r w:rsidRPr="00D73610">
        <w:rPr>
          <w:rFonts w:ascii="Times New Roman" w:hAnsi="Times New Roman"/>
          <w:i/>
          <w:lang w:val="en-GB"/>
        </w:rPr>
        <w:t>Judicial Protection</w:t>
      </w:r>
      <w:r w:rsidRPr="00D73610">
        <w:rPr>
          <w:rFonts w:ascii="Times New Roman" w:hAnsi="Times New Roman"/>
          <w:lang w:val="en-GB"/>
        </w:rPr>
        <w:t xml:space="preserve">, cit., 135; U. Everling, </w:t>
      </w:r>
      <w:r>
        <w:rPr>
          <w:rFonts w:ascii="Times New Roman" w:hAnsi="Times New Roman"/>
          <w:lang w:val="en-GB"/>
        </w:rPr>
        <w:t>‘</w:t>
      </w:r>
      <w:r w:rsidRPr="00D73610">
        <w:rPr>
          <w:rFonts w:ascii="Times New Roman" w:hAnsi="Times New Roman"/>
          <w:lang w:val="en-GB"/>
        </w:rPr>
        <w:t>The Court of Justice as a Decision</w:t>
      </w:r>
      <w:r>
        <w:rPr>
          <w:rFonts w:ascii="Times New Roman" w:hAnsi="Times New Roman"/>
          <w:lang w:val="en-GB"/>
        </w:rPr>
        <w:t>-</w:t>
      </w:r>
      <w:r w:rsidRPr="00D73610">
        <w:rPr>
          <w:rFonts w:ascii="Times New Roman" w:hAnsi="Times New Roman"/>
          <w:lang w:val="en-GB"/>
        </w:rPr>
        <w:t>making Authority</w:t>
      </w:r>
      <w:r>
        <w:rPr>
          <w:rFonts w:ascii="Times New Roman" w:hAnsi="Times New Roman"/>
          <w:lang w:val="en-GB"/>
        </w:rPr>
        <w:t>’</w:t>
      </w:r>
      <w:r w:rsidRPr="00D73610">
        <w:rPr>
          <w:rFonts w:ascii="Times New Roman" w:hAnsi="Times New Roman"/>
          <w:lang w:val="en-GB"/>
        </w:rPr>
        <w:t xml:space="preserve">, in Michigan Law Review Association (ed.), </w:t>
      </w:r>
      <w:r w:rsidRPr="00D73610">
        <w:rPr>
          <w:rFonts w:ascii="Times New Roman" w:hAnsi="Times New Roman"/>
          <w:i/>
          <w:lang w:val="en-GB"/>
        </w:rPr>
        <w:t>The Art of Governance</w:t>
      </w:r>
      <w:r>
        <w:rPr>
          <w:rFonts w:ascii="Times New Roman" w:hAnsi="Times New Roman"/>
          <w:i/>
          <w:lang w:val="en-GB"/>
        </w:rPr>
        <w:t xml:space="preserve"> </w:t>
      </w:r>
      <w:r>
        <w:rPr>
          <w:rFonts w:ascii="Times New Roman" w:hAnsi="Times New Roman"/>
          <w:lang w:val="en-GB"/>
        </w:rPr>
        <w:t>(</w:t>
      </w:r>
      <w:r w:rsidRPr="00D73610">
        <w:rPr>
          <w:rFonts w:ascii="Times New Roman" w:hAnsi="Times New Roman"/>
          <w:lang w:val="en-GB"/>
        </w:rPr>
        <w:t>Baden-Baden</w:t>
      </w:r>
      <w:r>
        <w:rPr>
          <w:rFonts w:ascii="Times New Roman" w:hAnsi="Times New Roman"/>
          <w:lang w:val="en-GB"/>
        </w:rPr>
        <w:t>:</w:t>
      </w:r>
      <w:r w:rsidRPr="00D73610">
        <w:rPr>
          <w:rFonts w:ascii="Times New Roman" w:hAnsi="Times New Roman"/>
          <w:lang w:val="en-GB"/>
        </w:rPr>
        <w:t xml:space="preserve"> Nomos, 1987</w:t>
      </w:r>
      <w:r>
        <w:rPr>
          <w:rFonts w:ascii="Times New Roman" w:hAnsi="Times New Roman"/>
          <w:lang w:val="en-GB"/>
        </w:rPr>
        <w:t>)</w:t>
      </w:r>
      <w:r w:rsidRPr="00D73610">
        <w:rPr>
          <w:rFonts w:ascii="Times New Roman" w:hAnsi="Times New Roman"/>
          <w:lang w:val="en-GB"/>
        </w:rPr>
        <w:t xml:space="preserve">, 156–172, </w:t>
      </w:r>
      <w:r>
        <w:rPr>
          <w:rFonts w:ascii="Times New Roman" w:hAnsi="Times New Roman"/>
          <w:lang w:val="en-GB"/>
        </w:rPr>
        <w:t xml:space="preserve">at </w:t>
      </w:r>
      <w:r w:rsidRPr="00D73610">
        <w:rPr>
          <w:rFonts w:ascii="Times New Roman" w:hAnsi="Times New Roman"/>
          <w:lang w:val="en-GB"/>
        </w:rPr>
        <w:t xml:space="preserve">163. </w:t>
      </w:r>
      <w:r w:rsidRPr="00D73610">
        <w:rPr>
          <w:rFonts w:ascii="Times New Roman" w:hAnsi="Times New Roman"/>
          <w:i/>
          <w:lang w:val="en-GB"/>
        </w:rPr>
        <w:t>Contra</w:t>
      </w:r>
      <w:r w:rsidRPr="00D73610">
        <w:rPr>
          <w:rFonts w:ascii="Times New Roman" w:hAnsi="Times New Roman"/>
          <w:lang w:val="en-GB"/>
        </w:rPr>
        <w:t xml:space="preserve"> T. Koo</w:t>
      </w:r>
      <w:r>
        <w:rPr>
          <w:rFonts w:ascii="Times New Roman" w:hAnsi="Times New Roman"/>
          <w:lang w:val="en-GB"/>
        </w:rPr>
        <w:t>pmans, ‘“</w:t>
      </w:r>
      <w:r w:rsidRPr="00D73610">
        <w:rPr>
          <w:rFonts w:ascii="Times New Roman" w:hAnsi="Times New Roman"/>
          <w:i/>
          <w:lang w:val="en-GB"/>
        </w:rPr>
        <w:t>Stare Decisis</w:t>
      </w:r>
      <w:r>
        <w:rPr>
          <w:rFonts w:ascii="Times New Roman" w:hAnsi="Times New Roman"/>
          <w:lang w:val="en-GB"/>
        </w:rPr>
        <w:t>”</w:t>
      </w:r>
      <w:r w:rsidRPr="00D73610">
        <w:rPr>
          <w:rFonts w:ascii="Times New Roman" w:hAnsi="Times New Roman"/>
          <w:i/>
          <w:lang w:val="en-GB"/>
        </w:rPr>
        <w:t xml:space="preserve"> </w:t>
      </w:r>
      <w:r>
        <w:rPr>
          <w:rFonts w:ascii="Times New Roman" w:hAnsi="Times New Roman"/>
          <w:lang w:val="en-GB"/>
        </w:rPr>
        <w:t>in European Law’</w:t>
      </w:r>
      <w:r w:rsidRPr="00D73610">
        <w:rPr>
          <w:rFonts w:ascii="Times New Roman" w:hAnsi="Times New Roman"/>
          <w:lang w:val="en-GB"/>
        </w:rPr>
        <w:t xml:space="preserve">, in D. O’Keeffe, H.G. Schermers (eds.), </w:t>
      </w:r>
      <w:r w:rsidRPr="00D73610">
        <w:rPr>
          <w:rFonts w:ascii="Times New Roman" w:hAnsi="Times New Roman"/>
          <w:i/>
          <w:lang w:val="en-GB"/>
        </w:rPr>
        <w:t>Essays in European Law and Integration</w:t>
      </w:r>
      <w:r>
        <w:rPr>
          <w:rFonts w:ascii="Times New Roman" w:hAnsi="Times New Roman"/>
          <w:i/>
          <w:lang w:val="en-GB"/>
        </w:rPr>
        <w:t>: T</w:t>
      </w:r>
      <w:r w:rsidRPr="002B1905">
        <w:rPr>
          <w:rFonts w:ascii="Times New Roman" w:hAnsi="Times New Roman"/>
          <w:i/>
        </w:rPr>
        <w:t xml:space="preserve">o </w:t>
      </w:r>
      <w:r>
        <w:rPr>
          <w:rFonts w:ascii="Times New Roman" w:hAnsi="Times New Roman"/>
          <w:i/>
        </w:rPr>
        <w:t>M</w:t>
      </w:r>
      <w:r w:rsidRPr="002B1905">
        <w:rPr>
          <w:rFonts w:ascii="Times New Roman" w:hAnsi="Times New Roman"/>
          <w:i/>
        </w:rPr>
        <w:t xml:space="preserve">ark the </w:t>
      </w:r>
      <w:r>
        <w:rPr>
          <w:rFonts w:ascii="Times New Roman" w:hAnsi="Times New Roman"/>
          <w:i/>
        </w:rPr>
        <w:t>S</w:t>
      </w:r>
      <w:r w:rsidRPr="002B1905">
        <w:rPr>
          <w:rFonts w:ascii="Times New Roman" w:hAnsi="Times New Roman"/>
          <w:i/>
        </w:rPr>
        <w:t>ilver Jubilee of the Europa Institute, Leiden 1957-1982</w:t>
      </w:r>
      <w:r>
        <w:rPr>
          <w:rFonts w:ascii="Times New Roman" w:hAnsi="Times New Roman"/>
          <w:i/>
        </w:rPr>
        <w:t xml:space="preserve"> </w:t>
      </w:r>
      <w:r>
        <w:rPr>
          <w:rFonts w:ascii="Times New Roman" w:hAnsi="Times New Roman"/>
        </w:rPr>
        <w:t>(</w:t>
      </w:r>
      <w:r w:rsidRPr="00D73610">
        <w:rPr>
          <w:rFonts w:ascii="Times New Roman" w:hAnsi="Times New Roman"/>
          <w:lang w:val="en-GB"/>
        </w:rPr>
        <w:t>Deventer</w:t>
      </w:r>
      <w:r>
        <w:rPr>
          <w:rFonts w:ascii="Times New Roman" w:hAnsi="Times New Roman"/>
          <w:lang w:val="en-GB"/>
        </w:rPr>
        <w:t xml:space="preserve"> et al.: </w:t>
      </w:r>
      <w:r w:rsidRPr="00D73610">
        <w:rPr>
          <w:rFonts w:ascii="Times New Roman" w:hAnsi="Times New Roman"/>
          <w:lang w:val="en-GB"/>
        </w:rPr>
        <w:t>Kluwer, 1982</w:t>
      </w:r>
      <w:r>
        <w:rPr>
          <w:rFonts w:ascii="Times New Roman" w:hAnsi="Times New Roman"/>
          <w:lang w:val="en-GB"/>
        </w:rPr>
        <w:t>)</w:t>
      </w:r>
      <w:r w:rsidRPr="00D73610">
        <w:rPr>
          <w:rFonts w:ascii="Times New Roman" w:hAnsi="Times New Roman"/>
          <w:lang w:val="en-GB"/>
        </w:rPr>
        <w:t xml:space="preserve">, 11-28, </w:t>
      </w:r>
      <w:r>
        <w:rPr>
          <w:rFonts w:ascii="Times New Roman" w:hAnsi="Times New Roman"/>
          <w:lang w:val="en-GB"/>
        </w:rPr>
        <w:t xml:space="preserve">at </w:t>
      </w:r>
      <w:r w:rsidRPr="00D73610">
        <w:rPr>
          <w:rFonts w:ascii="Times New Roman" w:hAnsi="Times New Roman"/>
          <w:lang w:val="en-GB"/>
        </w:rPr>
        <w:t>18.</w:t>
      </w:r>
    </w:p>
  </w:footnote>
  <w:footnote w:id="52">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s-ES"/>
        </w:rPr>
        <w:t xml:space="preserve"> </w:t>
      </w:r>
      <w:r w:rsidRPr="00B27D8E">
        <w:rPr>
          <w:rFonts w:ascii="Times New Roman" w:hAnsi="Times New Roman"/>
          <w:bCs/>
          <w:i/>
          <w:iCs/>
          <w:lang w:val="es-ES"/>
        </w:rPr>
        <w:t>Defrenne II</w:t>
      </w:r>
      <w:r w:rsidRPr="00B27D8E">
        <w:rPr>
          <w:rFonts w:ascii="Times New Roman" w:hAnsi="Times New Roman"/>
          <w:bCs/>
          <w:lang w:val="es-ES"/>
        </w:rPr>
        <w:t xml:space="preserve"> [1976], para. </w:t>
      </w:r>
      <w:r>
        <w:rPr>
          <w:rFonts w:ascii="Times New Roman" w:hAnsi="Times New Roman"/>
          <w:bCs/>
          <w:lang w:val="en-GB"/>
        </w:rPr>
        <w:t>31 (‘</w:t>
      </w:r>
      <w:r w:rsidRPr="00D73610">
        <w:rPr>
          <w:rFonts w:ascii="Times New Roman" w:hAnsi="Times New Roman"/>
          <w:bCs/>
          <w:iCs/>
          <w:lang w:val="en-GB"/>
        </w:rPr>
        <w:t>as the court has already found in othe</w:t>
      </w:r>
      <w:r>
        <w:rPr>
          <w:rFonts w:ascii="Times New Roman" w:hAnsi="Times New Roman"/>
          <w:bCs/>
          <w:iCs/>
          <w:lang w:val="en-GB"/>
        </w:rPr>
        <w:t>r contexts’</w:t>
      </w:r>
      <w:r w:rsidRPr="00D73610">
        <w:rPr>
          <w:rFonts w:ascii="Times New Roman" w:hAnsi="Times New Roman"/>
          <w:bCs/>
          <w:lang w:val="en-GB"/>
        </w:rPr>
        <w:t>).</w:t>
      </w:r>
    </w:p>
  </w:footnote>
  <w:footnote w:id="53">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i/>
          <w:iCs/>
          <w:lang w:val="en-GB"/>
        </w:rPr>
        <w:t>Ratti</w:t>
      </w:r>
      <w:r w:rsidRPr="00D73610">
        <w:rPr>
          <w:rFonts w:ascii="Times New Roman" w:hAnsi="Times New Roman"/>
          <w:lang w:val="en-GB"/>
        </w:rPr>
        <w:t xml:space="preserve"> [1979], </w:t>
      </w:r>
      <w:r>
        <w:rPr>
          <w:rFonts w:ascii="Times New Roman" w:hAnsi="Times New Roman"/>
          <w:lang w:val="en-GB"/>
        </w:rPr>
        <w:t>para. 19</w:t>
      </w:r>
      <w:r w:rsidRPr="00D73610">
        <w:rPr>
          <w:rFonts w:ascii="Times New Roman" w:hAnsi="Times New Roman"/>
          <w:lang w:val="en-GB"/>
        </w:rPr>
        <w:t>.</w:t>
      </w:r>
    </w:p>
  </w:footnote>
  <w:footnote w:id="54">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n-GB"/>
        </w:rPr>
        <w:t xml:space="preserve"> </w:t>
      </w:r>
      <w:r w:rsidRPr="00B27D8E">
        <w:rPr>
          <w:rFonts w:ascii="Times New Roman" w:hAnsi="Times New Roman"/>
          <w:bCs/>
          <w:i/>
          <w:iCs/>
          <w:lang w:val="en-GB"/>
        </w:rPr>
        <w:t xml:space="preserve">Foglia </w:t>
      </w:r>
      <w:r w:rsidRPr="00B27D8E">
        <w:rPr>
          <w:rFonts w:ascii="Times New Roman" w:hAnsi="Times New Roman"/>
          <w:bCs/>
          <w:lang w:val="en-GB"/>
        </w:rPr>
        <w:t xml:space="preserve">[1980]; </w:t>
      </w:r>
      <w:r w:rsidRPr="00B27D8E">
        <w:rPr>
          <w:rFonts w:ascii="Times New Roman" w:hAnsi="Times New Roman"/>
          <w:bCs/>
          <w:i/>
          <w:iCs/>
          <w:lang w:val="en-GB"/>
        </w:rPr>
        <w:t>Antonissen</w:t>
      </w:r>
      <w:r w:rsidRPr="00B27D8E">
        <w:rPr>
          <w:rFonts w:ascii="Times New Roman" w:hAnsi="Times New Roman"/>
          <w:bCs/>
          <w:lang w:val="en-GB"/>
        </w:rPr>
        <w:t xml:space="preserve"> [1991].</w:t>
      </w:r>
    </w:p>
  </w:footnote>
  <w:footnote w:id="55">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n-GB"/>
        </w:rPr>
        <w:t xml:space="preserve"> </w:t>
      </w:r>
      <w:r>
        <w:rPr>
          <w:rFonts w:ascii="Times New Roman" w:hAnsi="Times New Roman"/>
          <w:iCs/>
          <w:lang w:val="en-GB"/>
        </w:rPr>
        <w:t>‘</w:t>
      </w:r>
      <w:r w:rsidRPr="00B27D8E">
        <w:rPr>
          <w:rFonts w:ascii="Times New Roman" w:hAnsi="Times New Roman"/>
          <w:iCs/>
          <w:lang w:val="en-GB"/>
        </w:rPr>
        <w:t>Chernobyl</w:t>
      </w:r>
      <w:r>
        <w:rPr>
          <w:rFonts w:ascii="Times New Roman" w:hAnsi="Times New Roman"/>
          <w:iCs/>
          <w:lang w:val="en-GB"/>
        </w:rPr>
        <w:t>’</w:t>
      </w:r>
      <w:r w:rsidRPr="00B27D8E">
        <w:rPr>
          <w:rFonts w:ascii="Times New Roman" w:hAnsi="Times New Roman"/>
          <w:i/>
          <w:iCs/>
          <w:lang w:val="en-GB"/>
        </w:rPr>
        <w:t xml:space="preserve"> </w:t>
      </w:r>
      <w:r w:rsidRPr="00B27D8E">
        <w:rPr>
          <w:rFonts w:ascii="Times New Roman" w:hAnsi="Times New Roman"/>
          <w:lang w:val="en-GB"/>
        </w:rPr>
        <w:t>[1990], para. 16.</w:t>
      </w:r>
    </w:p>
  </w:footnote>
  <w:footnote w:id="56">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n-GB"/>
        </w:rPr>
        <w:t xml:space="preserve"> </w:t>
      </w:r>
      <w:r w:rsidRPr="00B27D8E">
        <w:rPr>
          <w:rFonts w:ascii="Times New Roman" w:hAnsi="Times New Roman"/>
          <w:i/>
          <w:iCs/>
          <w:lang w:val="en-GB"/>
        </w:rPr>
        <w:t>Costa</w:t>
      </w:r>
      <w:r w:rsidRPr="00B27D8E">
        <w:rPr>
          <w:rFonts w:ascii="Times New Roman" w:hAnsi="Times New Roman"/>
          <w:lang w:val="en-GB"/>
        </w:rPr>
        <w:t xml:space="preserve"> [1964], 593.</w:t>
      </w:r>
    </w:p>
  </w:footnote>
  <w:footnote w:id="57">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i/>
          <w:iCs/>
          <w:lang w:val="en-GB"/>
        </w:rPr>
        <w:t>Stauder</w:t>
      </w:r>
      <w:r w:rsidRPr="00D73610">
        <w:rPr>
          <w:rFonts w:ascii="Times New Roman" w:hAnsi="Times New Roman"/>
          <w:lang w:val="en-GB"/>
        </w:rPr>
        <w:t xml:space="preserve"> [1969] </w:t>
      </w:r>
      <w:r>
        <w:rPr>
          <w:rFonts w:ascii="Times New Roman" w:hAnsi="Times New Roman"/>
          <w:lang w:val="en-GB"/>
        </w:rPr>
        <w:t>para.</w:t>
      </w:r>
      <w:r w:rsidRPr="00D73610">
        <w:rPr>
          <w:rFonts w:ascii="Times New Roman" w:hAnsi="Times New Roman"/>
          <w:lang w:val="en-GB"/>
        </w:rPr>
        <w:t xml:space="preserve"> 7. See also </w:t>
      </w:r>
      <w:r w:rsidRPr="00D73610">
        <w:rPr>
          <w:rFonts w:ascii="Times New Roman" w:hAnsi="Times New Roman"/>
          <w:i/>
          <w:iCs/>
          <w:lang w:val="en-GB"/>
        </w:rPr>
        <w:t>Internationale Handelsgesellschaft</w:t>
      </w:r>
      <w:r w:rsidRPr="00D73610">
        <w:rPr>
          <w:rFonts w:ascii="Times New Roman" w:hAnsi="Times New Roman"/>
          <w:lang w:val="en-GB"/>
        </w:rPr>
        <w:t xml:space="preserve"> [1970] </w:t>
      </w:r>
      <w:r>
        <w:rPr>
          <w:rFonts w:ascii="Times New Roman" w:hAnsi="Times New Roman"/>
          <w:lang w:val="en-GB"/>
        </w:rPr>
        <w:t>para.</w:t>
      </w:r>
      <w:r w:rsidRPr="00D73610">
        <w:rPr>
          <w:rFonts w:ascii="Times New Roman" w:hAnsi="Times New Roman"/>
          <w:lang w:val="en-GB"/>
        </w:rPr>
        <w:t xml:space="preserve"> 4.</w:t>
      </w:r>
    </w:p>
  </w:footnote>
  <w:footnote w:id="58">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i/>
          <w:iCs/>
          <w:lang w:val="en-GB"/>
        </w:rPr>
        <w:t>Internationale Handelsgesellschaft</w:t>
      </w:r>
      <w:r w:rsidRPr="00D73610">
        <w:rPr>
          <w:rFonts w:ascii="Times New Roman" w:hAnsi="Times New Roman"/>
          <w:lang w:val="en-GB"/>
        </w:rPr>
        <w:t xml:space="preserve"> [1970] </w:t>
      </w:r>
      <w:r>
        <w:rPr>
          <w:rFonts w:ascii="Times New Roman" w:hAnsi="Times New Roman"/>
          <w:lang w:val="en-GB"/>
        </w:rPr>
        <w:t>para.</w:t>
      </w:r>
      <w:r w:rsidRPr="00D73610">
        <w:rPr>
          <w:rFonts w:ascii="Times New Roman" w:hAnsi="Times New Roman"/>
          <w:lang w:val="en-GB"/>
        </w:rPr>
        <w:t xml:space="preserve"> 3; see also </w:t>
      </w:r>
      <w:r w:rsidRPr="00D73610">
        <w:rPr>
          <w:rFonts w:ascii="Times New Roman" w:hAnsi="Times New Roman"/>
          <w:i/>
          <w:iCs/>
          <w:lang w:val="en-GB"/>
        </w:rPr>
        <w:t xml:space="preserve">Simmenthal </w:t>
      </w:r>
      <w:r w:rsidRPr="00D73610">
        <w:rPr>
          <w:rFonts w:ascii="Times New Roman" w:hAnsi="Times New Roman"/>
          <w:lang w:val="en-GB"/>
        </w:rPr>
        <w:t xml:space="preserve">[1978], </w:t>
      </w:r>
      <w:r>
        <w:rPr>
          <w:rFonts w:ascii="Times New Roman" w:hAnsi="Times New Roman"/>
          <w:lang w:val="en-GB"/>
        </w:rPr>
        <w:t>para.</w:t>
      </w:r>
      <w:r w:rsidRPr="00D73610">
        <w:rPr>
          <w:rFonts w:ascii="Times New Roman" w:hAnsi="Times New Roman"/>
          <w:lang w:val="en-GB"/>
        </w:rPr>
        <w:t xml:space="preserve"> 17 (</w:t>
      </w:r>
      <w:r>
        <w:rPr>
          <w:rFonts w:ascii="Times New Roman" w:hAnsi="Times New Roman"/>
          <w:lang w:val="en-GB"/>
        </w:rPr>
        <w:t>‘</w:t>
      </w:r>
      <w:r w:rsidRPr="00D73610">
        <w:rPr>
          <w:rFonts w:ascii="Times New Roman" w:hAnsi="Times New Roman"/>
          <w:iCs/>
          <w:lang w:val="en-GB"/>
        </w:rPr>
        <w:t>principle of the precedence of Community law</w:t>
      </w:r>
      <w:r>
        <w:rPr>
          <w:rFonts w:ascii="Times New Roman" w:hAnsi="Times New Roman"/>
          <w:lang w:val="en-GB"/>
        </w:rPr>
        <w:t>’</w:t>
      </w:r>
      <w:r w:rsidRPr="00D73610">
        <w:rPr>
          <w:rFonts w:ascii="Times New Roman" w:hAnsi="Times New Roman"/>
          <w:lang w:val="en-GB"/>
        </w:rPr>
        <w:t>).</w:t>
      </w:r>
    </w:p>
  </w:footnote>
  <w:footnote w:id="59">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s-ES"/>
        </w:rPr>
        <w:t xml:space="preserve"> </w:t>
      </w:r>
      <w:r w:rsidRPr="00B27D8E">
        <w:rPr>
          <w:rFonts w:ascii="Times New Roman" w:hAnsi="Times New Roman"/>
          <w:i/>
          <w:lang w:val="es-ES"/>
        </w:rPr>
        <w:t xml:space="preserve">Brasserie du Pêcheur </w:t>
      </w:r>
      <w:r w:rsidRPr="00B27D8E">
        <w:rPr>
          <w:rFonts w:ascii="Times New Roman" w:hAnsi="Times New Roman"/>
          <w:lang w:val="es-ES"/>
        </w:rPr>
        <w:t>[1996], para. 22.</w:t>
      </w:r>
    </w:p>
  </w:footnote>
  <w:footnote w:id="60">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s-ES"/>
        </w:rPr>
        <w:t xml:space="preserve"> </w:t>
      </w:r>
      <w:r>
        <w:rPr>
          <w:rFonts w:ascii="Times New Roman" w:hAnsi="Times New Roman"/>
          <w:lang w:val="es-ES"/>
        </w:rPr>
        <w:t>‘</w:t>
      </w:r>
      <w:r w:rsidRPr="00B27D8E">
        <w:rPr>
          <w:rFonts w:ascii="Times New Roman" w:hAnsi="Times New Roman"/>
          <w:lang w:val="es-ES"/>
        </w:rPr>
        <w:t>Cassis de Dijon</w:t>
      </w:r>
      <w:r>
        <w:rPr>
          <w:rFonts w:ascii="Times New Roman" w:hAnsi="Times New Roman"/>
          <w:lang w:val="es-ES"/>
        </w:rPr>
        <w:t>’</w:t>
      </w:r>
      <w:r w:rsidRPr="00B27D8E">
        <w:rPr>
          <w:rFonts w:ascii="Times New Roman" w:hAnsi="Times New Roman"/>
          <w:lang w:val="es-ES"/>
        </w:rPr>
        <w:t xml:space="preserve"> [1979], para. </w:t>
      </w:r>
      <w:r w:rsidRPr="00B27D8E">
        <w:rPr>
          <w:rFonts w:ascii="Times New Roman" w:hAnsi="Times New Roman"/>
          <w:lang w:val="en-GB"/>
        </w:rPr>
        <w:t>14.</w:t>
      </w:r>
    </w:p>
  </w:footnote>
  <w:footnote w:id="61">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n-GB"/>
        </w:rPr>
        <w:t xml:space="preserve"> </w:t>
      </w:r>
      <w:r>
        <w:rPr>
          <w:rFonts w:ascii="Times New Roman" w:hAnsi="Times New Roman"/>
          <w:iCs/>
          <w:lang w:val="en-GB"/>
        </w:rPr>
        <w:t>‘</w:t>
      </w:r>
      <w:r w:rsidRPr="00B27D8E">
        <w:rPr>
          <w:rFonts w:ascii="Times New Roman" w:hAnsi="Times New Roman"/>
          <w:iCs/>
          <w:lang w:val="en-GB"/>
        </w:rPr>
        <w:t>Chernobyl</w:t>
      </w:r>
      <w:r>
        <w:rPr>
          <w:rFonts w:ascii="Times New Roman" w:hAnsi="Times New Roman"/>
          <w:iCs/>
          <w:lang w:val="en-GB"/>
        </w:rPr>
        <w:t>’</w:t>
      </w:r>
      <w:r w:rsidRPr="00B27D8E">
        <w:rPr>
          <w:rFonts w:ascii="Times New Roman" w:hAnsi="Times New Roman"/>
          <w:i/>
          <w:iCs/>
          <w:lang w:val="en-GB"/>
        </w:rPr>
        <w:t xml:space="preserve"> </w:t>
      </w:r>
      <w:r w:rsidRPr="00B27D8E">
        <w:rPr>
          <w:rFonts w:ascii="Times New Roman" w:hAnsi="Times New Roman"/>
          <w:lang w:val="en-GB"/>
        </w:rPr>
        <w:t>[1990], para. 21.</w:t>
      </w:r>
    </w:p>
  </w:footnote>
  <w:footnote w:id="62">
    <w:p w:rsidR="005E6612" w:rsidRDefault="005E6612" w:rsidP="00134D6A">
      <w:pPr>
        <w:pStyle w:val="Testonotaapidipagina"/>
        <w:jc w:val="both"/>
      </w:pPr>
      <w:r w:rsidRPr="00550AFF">
        <w:rPr>
          <w:rStyle w:val="Rimandonotaapidipagina"/>
          <w:rFonts w:ascii="Times New Roman" w:hAnsi="Times New Roman"/>
          <w:lang w:val="en-GB"/>
        </w:rPr>
        <w:footnoteRef/>
      </w:r>
      <w:r w:rsidRPr="00B27D8E">
        <w:rPr>
          <w:rFonts w:ascii="Times New Roman" w:hAnsi="Times New Roman"/>
          <w:lang w:val="en-GB"/>
        </w:rPr>
        <w:t xml:space="preserve"> </w:t>
      </w:r>
      <w:r w:rsidRPr="00134D6A">
        <w:rPr>
          <w:rFonts w:ascii="Times New Roman" w:hAnsi="Times New Roman"/>
          <w:i/>
          <w:lang w:val="en-GB"/>
        </w:rPr>
        <w:t xml:space="preserve">Brasserie du Pêcheur </w:t>
      </w:r>
      <w:r w:rsidRPr="00134D6A">
        <w:rPr>
          <w:rFonts w:ascii="Times New Roman" w:hAnsi="Times New Roman"/>
          <w:lang w:val="en-GB"/>
        </w:rPr>
        <w:t>[1996], para. 27.</w:t>
      </w:r>
    </w:p>
  </w:footnote>
  <w:footnote w:id="63">
    <w:p w:rsidR="005E6612" w:rsidRDefault="005E6612" w:rsidP="00134D6A">
      <w:pPr>
        <w:pStyle w:val="Testonotaapidipagina"/>
        <w:jc w:val="both"/>
      </w:pPr>
      <w:r w:rsidRPr="00134D6A">
        <w:rPr>
          <w:rStyle w:val="Rimandonotaapidipagina"/>
          <w:rFonts w:ascii="Times New Roman" w:hAnsi="Times New Roman"/>
        </w:rPr>
        <w:footnoteRef/>
      </w:r>
      <w:r w:rsidRPr="00134D6A">
        <w:rPr>
          <w:rFonts w:ascii="Times New Roman" w:hAnsi="Times New Roman"/>
        </w:rPr>
        <w:t xml:space="preserve"> </w:t>
      </w:r>
      <w:r w:rsidRPr="00134D6A">
        <w:rPr>
          <w:rFonts w:ascii="Times New Roman" w:hAnsi="Times New Roman"/>
          <w:i/>
          <w:iCs/>
          <w:lang w:val="en-GB"/>
        </w:rPr>
        <w:t>Van Duyn</w:t>
      </w:r>
      <w:r w:rsidRPr="00134D6A">
        <w:rPr>
          <w:rFonts w:ascii="Times New Roman" w:hAnsi="Times New Roman"/>
          <w:lang w:val="en-GB"/>
        </w:rPr>
        <w:t xml:space="preserve"> [1974], para. 18; </w:t>
      </w:r>
      <w:r w:rsidRPr="00134D6A">
        <w:rPr>
          <w:rFonts w:ascii="Times New Roman" w:hAnsi="Times New Roman"/>
          <w:i/>
          <w:iCs/>
          <w:lang w:val="en-GB"/>
        </w:rPr>
        <w:t xml:space="preserve">Defrenne II </w:t>
      </w:r>
      <w:r w:rsidRPr="00134D6A">
        <w:rPr>
          <w:rFonts w:ascii="Times New Roman" w:hAnsi="Times New Roman"/>
          <w:lang w:val="en-GB"/>
        </w:rPr>
        <w:t xml:space="preserve">[1976], para. 12-14; </w:t>
      </w:r>
      <w:r w:rsidRPr="00134D6A">
        <w:rPr>
          <w:rFonts w:ascii="Times New Roman" w:hAnsi="Times New Roman"/>
          <w:i/>
          <w:lang w:val="en-GB"/>
        </w:rPr>
        <w:t>Antonissen</w:t>
      </w:r>
      <w:r w:rsidRPr="00134D6A">
        <w:rPr>
          <w:rFonts w:ascii="Times New Roman" w:hAnsi="Times New Roman"/>
          <w:iCs/>
          <w:lang w:val="en-GB"/>
        </w:rPr>
        <w:t xml:space="preserve"> [1991], para. 11; </w:t>
      </w:r>
      <w:r w:rsidRPr="00134D6A">
        <w:rPr>
          <w:rFonts w:ascii="Times New Roman" w:hAnsi="Times New Roman"/>
          <w:i/>
          <w:lang w:val="en-GB"/>
        </w:rPr>
        <w:t>Schmidberger</w:t>
      </w:r>
      <w:r w:rsidRPr="00134D6A">
        <w:rPr>
          <w:rFonts w:ascii="Times New Roman" w:hAnsi="Times New Roman"/>
          <w:iCs/>
          <w:lang w:val="en-GB"/>
        </w:rPr>
        <w:t xml:space="preserve"> [2003], para. 60; </w:t>
      </w:r>
      <w:r w:rsidRPr="00134D6A">
        <w:rPr>
          <w:rFonts w:ascii="Times New Roman" w:hAnsi="Times New Roman"/>
          <w:i/>
          <w:iCs/>
          <w:lang w:val="en-GB"/>
        </w:rPr>
        <w:t>Omega</w:t>
      </w:r>
      <w:r w:rsidRPr="00134D6A">
        <w:rPr>
          <w:rFonts w:ascii="Times New Roman" w:hAnsi="Times New Roman"/>
          <w:lang w:val="en-GB"/>
        </w:rPr>
        <w:t xml:space="preserve"> [2004], para. 30.</w:t>
      </w:r>
    </w:p>
  </w:footnote>
  <w:footnote w:id="64">
    <w:p w:rsidR="005E6612" w:rsidRDefault="005E6612" w:rsidP="00134D6A">
      <w:pPr>
        <w:pStyle w:val="Testonotaapidipagina"/>
        <w:jc w:val="both"/>
      </w:pPr>
      <w:r w:rsidRPr="00134D6A">
        <w:rPr>
          <w:rStyle w:val="Rimandonotaapidipagina"/>
          <w:rFonts w:ascii="Times New Roman" w:hAnsi="Times New Roman"/>
          <w:lang w:val="en-GB"/>
        </w:rPr>
        <w:footnoteRef/>
      </w:r>
      <w:r w:rsidRPr="00134D6A">
        <w:rPr>
          <w:rFonts w:ascii="Times New Roman" w:hAnsi="Times New Roman"/>
          <w:lang w:val="en-GB"/>
        </w:rPr>
        <w:t xml:space="preserve"> E.g., Schermers, Waelbroeck, </w:t>
      </w:r>
      <w:r w:rsidRPr="00134D6A">
        <w:rPr>
          <w:rFonts w:ascii="Times New Roman" w:hAnsi="Times New Roman"/>
          <w:i/>
          <w:lang w:val="en-GB"/>
        </w:rPr>
        <w:t>Judicial Protection</w:t>
      </w:r>
      <w:r w:rsidRPr="00134D6A">
        <w:rPr>
          <w:rFonts w:ascii="Times New Roman" w:hAnsi="Times New Roman"/>
          <w:lang w:val="en-GB"/>
        </w:rPr>
        <w:t xml:space="preserve">, cit., 12; </w:t>
      </w:r>
      <w:r w:rsidRPr="00134D6A">
        <w:rPr>
          <w:rFonts w:ascii="Times New Roman" w:hAnsi="Times New Roman"/>
          <w:iCs/>
          <w:lang w:val="en-GB"/>
        </w:rPr>
        <w:t xml:space="preserve">G. Beck, </w:t>
      </w:r>
      <w:r w:rsidRPr="00134D6A">
        <w:rPr>
          <w:rFonts w:ascii="Times New Roman" w:hAnsi="Times New Roman"/>
          <w:i/>
          <w:iCs/>
          <w:lang w:val="en-GB"/>
        </w:rPr>
        <w:t>The Legal Reasoning of the Court of Justice of the EU</w:t>
      </w:r>
      <w:r w:rsidRPr="00134D6A">
        <w:rPr>
          <w:rFonts w:ascii="Times New Roman" w:hAnsi="Times New Roman"/>
          <w:iCs/>
        </w:rPr>
        <w:t xml:space="preserve"> (</w:t>
      </w:r>
      <w:r w:rsidRPr="00134D6A">
        <w:rPr>
          <w:rFonts w:ascii="Times New Roman" w:hAnsi="Times New Roman"/>
          <w:lang w:val="en-GB"/>
        </w:rPr>
        <w:t>Oxford and Portland:</w:t>
      </w:r>
      <w:r w:rsidRPr="00134D6A">
        <w:rPr>
          <w:rFonts w:ascii="Times New Roman" w:hAnsi="Times New Roman"/>
        </w:rPr>
        <w:t xml:space="preserve"> </w:t>
      </w:r>
      <w:r w:rsidRPr="00134D6A">
        <w:rPr>
          <w:rFonts w:ascii="Times New Roman" w:hAnsi="Times New Roman"/>
          <w:lang w:val="en-GB"/>
        </w:rPr>
        <w:t>Hart, 2012), at 221-2.</w:t>
      </w:r>
    </w:p>
  </w:footnote>
  <w:footnote w:id="65">
    <w:p w:rsidR="005E6612" w:rsidRDefault="005E6612" w:rsidP="00134D6A">
      <w:pPr>
        <w:pStyle w:val="Testonotaapidipagina"/>
        <w:jc w:val="both"/>
      </w:pPr>
      <w:r w:rsidRPr="00134D6A">
        <w:rPr>
          <w:rStyle w:val="Rimandonotaapidipagina"/>
          <w:rFonts w:ascii="Times New Roman" w:hAnsi="Times New Roman"/>
          <w:lang w:val="en-GB"/>
        </w:rPr>
        <w:footnoteRef/>
      </w:r>
      <w:r w:rsidRPr="00134D6A">
        <w:rPr>
          <w:rFonts w:ascii="Times New Roman" w:hAnsi="Times New Roman"/>
          <w:lang w:val="en-GB"/>
        </w:rPr>
        <w:t xml:space="preserve"> Case C-9/56, </w:t>
      </w:r>
      <w:r w:rsidRPr="00134D6A">
        <w:rPr>
          <w:rFonts w:ascii="Times New Roman" w:hAnsi="Times New Roman"/>
          <w:i/>
          <w:lang w:val="en-GB"/>
        </w:rPr>
        <w:t>Meroni</w:t>
      </w:r>
      <w:r w:rsidRPr="00134D6A">
        <w:rPr>
          <w:rFonts w:ascii="Times New Roman" w:hAnsi="Times New Roman"/>
          <w:lang w:val="en-GB"/>
        </w:rPr>
        <w:t xml:space="preserve"> [1958], ECR 133, 140; Case C-8/55, </w:t>
      </w:r>
      <w:r w:rsidRPr="00134D6A">
        <w:rPr>
          <w:rFonts w:ascii="Times New Roman" w:hAnsi="Times New Roman"/>
          <w:bCs/>
          <w:i/>
          <w:lang w:val="en-GB"/>
        </w:rPr>
        <w:t xml:space="preserve">Fédération Charbonnière de Belgique </w:t>
      </w:r>
      <w:r w:rsidRPr="00134D6A">
        <w:rPr>
          <w:rFonts w:ascii="Times New Roman" w:hAnsi="Times New Roman"/>
          <w:lang w:val="en-GB"/>
        </w:rPr>
        <w:t>[1956], ECR 293, 300: ‘Such an argument is, in fact, acceptable only in the last resort when no other interpretation appears to be adequate or compatible with the text, the context and their objectives’.</w:t>
      </w:r>
    </w:p>
  </w:footnote>
  <w:footnote w:id="66">
    <w:p w:rsidR="005E6612" w:rsidRDefault="005E6612" w:rsidP="00134D6A">
      <w:pPr>
        <w:pStyle w:val="Testonotaapidipagina"/>
        <w:jc w:val="both"/>
      </w:pPr>
      <w:r w:rsidRPr="00134D6A">
        <w:rPr>
          <w:rStyle w:val="Rimandonotaapidipagina"/>
          <w:rFonts w:ascii="Times New Roman" w:hAnsi="Times New Roman"/>
          <w:lang w:val="en-GB"/>
        </w:rPr>
        <w:footnoteRef/>
      </w:r>
      <w:r w:rsidRPr="00134D6A">
        <w:rPr>
          <w:rFonts w:ascii="Times New Roman" w:hAnsi="Times New Roman"/>
          <w:lang w:val="es-ES"/>
        </w:rPr>
        <w:t xml:space="preserve"> </w:t>
      </w:r>
      <w:r w:rsidRPr="00134D6A">
        <w:rPr>
          <w:rFonts w:ascii="Times New Roman" w:hAnsi="Times New Roman"/>
          <w:i/>
          <w:iCs/>
          <w:lang w:val="es-ES"/>
        </w:rPr>
        <w:t>Van Gend en Loos</w:t>
      </w:r>
      <w:r w:rsidRPr="00134D6A">
        <w:rPr>
          <w:rFonts w:ascii="Times New Roman" w:hAnsi="Times New Roman"/>
          <w:lang w:val="es-ES"/>
        </w:rPr>
        <w:t xml:space="preserve"> [1963], 13.</w:t>
      </w:r>
    </w:p>
  </w:footnote>
  <w:footnote w:id="67">
    <w:p w:rsidR="005E6612" w:rsidRDefault="005E6612" w:rsidP="00134D6A">
      <w:pPr>
        <w:spacing w:after="0" w:line="240" w:lineRule="auto"/>
        <w:jc w:val="both"/>
      </w:pPr>
      <w:r w:rsidRPr="00134D6A">
        <w:rPr>
          <w:rStyle w:val="Rimandonotaapidipagina"/>
          <w:rFonts w:ascii="Times New Roman" w:hAnsi="Times New Roman"/>
          <w:sz w:val="20"/>
          <w:szCs w:val="20"/>
          <w:lang w:val="en-GB"/>
        </w:rPr>
        <w:footnoteRef/>
      </w:r>
      <w:r w:rsidRPr="00134D6A">
        <w:rPr>
          <w:rFonts w:ascii="Times New Roman" w:hAnsi="Times New Roman"/>
          <w:sz w:val="20"/>
          <w:szCs w:val="20"/>
          <w:lang w:val="es-ES"/>
        </w:rPr>
        <w:t xml:space="preserve"> </w:t>
      </w:r>
      <w:r w:rsidRPr="00134D6A">
        <w:rPr>
          <w:rFonts w:ascii="Times New Roman" w:hAnsi="Times New Roman"/>
          <w:i/>
          <w:iCs/>
          <w:sz w:val="20"/>
          <w:szCs w:val="20"/>
          <w:lang w:val="es-ES"/>
        </w:rPr>
        <w:t>Grad</w:t>
      </w:r>
      <w:r w:rsidRPr="00134D6A">
        <w:rPr>
          <w:rFonts w:ascii="Times New Roman" w:hAnsi="Times New Roman"/>
          <w:sz w:val="20"/>
          <w:szCs w:val="20"/>
          <w:lang w:val="es-ES"/>
        </w:rPr>
        <w:t xml:space="preserve"> [1970], para. 5; </w:t>
      </w:r>
      <w:r w:rsidRPr="00134D6A">
        <w:rPr>
          <w:rFonts w:ascii="Times New Roman" w:hAnsi="Times New Roman"/>
          <w:i/>
          <w:iCs/>
          <w:sz w:val="20"/>
          <w:szCs w:val="20"/>
          <w:lang w:val="es-ES"/>
        </w:rPr>
        <w:t>Van</w:t>
      </w:r>
      <w:r w:rsidRPr="00B27D8E">
        <w:rPr>
          <w:rFonts w:ascii="Times New Roman" w:hAnsi="Times New Roman"/>
          <w:i/>
          <w:iCs/>
          <w:sz w:val="20"/>
          <w:szCs w:val="20"/>
          <w:lang w:val="es-ES"/>
        </w:rPr>
        <w:t xml:space="preserve"> Duyn</w:t>
      </w:r>
      <w:r w:rsidRPr="00B27D8E">
        <w:rPr>
          <w:rFonts w:ascii="Times New Roman" w:hAnsi="Times New Roman"/>
          <w:sz w:val="20"/>
          <w:szCs w:val="20"/>
          <w:lang w:val="es-ES"/>
        </w:rPr>
        <w:t xml:space="preserve"> [1974], para. 12; </w:t>
      </w:r>
      <w:r w:rsidRPr="00B27D8E">
        <w:rPr>
          <w:rFonts w:ascii="Times New Roman" w:hAnsi="Times New Roman"/>
          <w:i/>
          <w:iCs/>
          <w:sz w:val="20"/>
          <w:szCs w:val="20"/>
          <w:lang w:val="es-ES"/>
        </w:rPr>
        <w:t>Ratti</w:t>
      </w:r>
      <w:r w:rsidRPr="00B27D8E">
        <w:rPr>
          <w:rFonts w:ascii="Times New Roman" w:hAnsi="Times New Roman"/>
          <w:sz w:val="20"/>
          <w:szCs w:val="20"/>
          <w:lang w:val="es-ES"/>
        </w:rPr>
        <w:t xml:space="preserve"> [1979], para. 19.</w:t>
      </w:r>
    </w:p>
  </w:footnote>
  <w:footnote w:id="68">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s-ES"/>
        </w:rPr>
        <w:t xml:space="preserve"> </w:t>
      </w:r>
      <w:r w:rsidRPr="00B27D8E">
        <w:rPr>
          <w:rFonts w:ascii="Times New Roman" w:hAnsi="Times New Roman"/>
          <w:i/>
          <w:lang w:val="es-ES"/>
        </w:rPr>
        <w:t>Faccini Dori</w:t>
      </w:r>
      <w:r w:rsidRPr="00B27D8E">
        <w:rPr>
          <w:rFonts w:ascii="Times New Roman" w:hAnsi="Times New Roman"/>
          <w:iCs/>
          <w:lang w:val="es-ES"/>
        </w:rPr>
        <w:t xml:space="preserve"> [1994], para. 24.</w:t>
      </w:r>
    </w:p>
  </w:footnote>
  <w:footnote w:id="69">
    <w:p w:rsidR="005E6612" w:rsidRDefault="005E6612" w:rsidP="00B27D8E">
      <w:pPr>
        <w:spacing w:after="0" w:line="240" w:lineRule="auto"/>
        <w:jc w:val="both"/>
      </w:pPr>
      <w:r w:rsidRPr="00D73610">
        <w:rPr>
          <w:rStyle w:val="Rimandonotaapidipagina"/>
          <w:rFonts w:ascii="Times New Roman" w:hAnsi="Times New Roman"/>
          <w:sz w:val="20"/>
          <w:szCs w:val="20"/>
          <w:lang w:val="en-GB"/>
        </w:rPr>
        <w:footnoteRef/>
      </w:r>
      <w:r w:rsidRPr="00B27D8E">
        <w:rPr>
          <w:rFonts w:ascii="Times New Roman" w:hAnsi="Times New Roman"/>
          <w:sz w:val="20"/>
          <w:szCs w:val="20"/>
          <w:lang w:val="es-ES"/>
        </w:rPr>
        <w:t xml:space="preserve"> </w:t>
      </w:r>
      <w:r w:rsidRPr="00B27D8E">
        <w:rPr>
          <w:rFonts w:ascii="Times New Roman" w:hAnsi="Times New Roman"/>
          <w:i/>
          <w:iCs/>
          <w:sz w:val="20"/>
          <w:szCs w:val="20"/>
          <w:shd w:val="clear" w:color="auto" w:fill="FFFFFF"/>
          <w:lang w:val="es-ES"/>
        </w:rPr>
        <w:t>Van Gend en Loos</w:t>
      </w:r>
      <w:r w:rsidRPr="00B27D8E">
        <w:rPr>
          <w:rFonts w:ascii="Times New Roman" w:hAnsi="Times New Roman"/>
          <w:sz w:val="20"/>
          <w:szCs w:val="20"/>
          <w:shd w:val="clear" w:color="auto" w:fill="FFFFFF"/>
          <w:lang w:val="es-ES"/>
        </w:rPr>
        <w:t xml:space="preserve"> [1963], 12.</w:t>
      </w:r>
    </w:p>
  </w:footnote>
  <w:footnote w:id="70">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U. Neergaard, R. Nielsen, </w:t>
      </w:r>
      <w:r>
        <w:rPr>
          <w:rFonts w:ascii="Times New Roman" w:hAnsi="Times New Roman"/>
          <w:lang w:val="en-GB"/>
        </w:rPr>
        <w:t>‘</w:t>
      </w:r>
      <w:r w:rsidRPr="00D73610">
        <w:rPr>
          <w:rFonts w:ascii="Times New Roman" w:hAnsi="Times New Roman"/>
          <w:lang w:val="en-GB"/>
        </w:rPr>
        <w:t>Where Did the Spirit and Its Friends Go? On the European Legal Method(s) and the Interpretational Style of the Court of Justice of the European Union</w:t>
      </w:r>
      <w:r>
        <w:rPr>
          <w:rFonts w:ascii="Times New Roman" w:hAnsi="Times New Roman"/>
          <w:lang w:val="en-GB"/>
        </w:rPr>
        <w:t>’</w:t>
      </w:r>
      <w:r w:rsidRPr="00D73610">
        <w:rPr>
          <w:rFonts w:ascii="Times New Roman" w:hAnsi="Times New Roman"/>
          <w:lang w:val="en-GB"/>
        </w:rPr>
        <w:t xml:space="preserve">, in U. Neergaard et al. (eds.), </w:t>
      </w:r>
      <w:r w:rsidRPr="00D73610">
        <w:rPr>
          <w:rFonts w:ascii="Times New Roman" w:hAnsi="Times New Roman"/>
          <w:i/>
          <w:lang w:val="en-GB"/>
        </w:rPr>
        <w:t>European Legal Method. Paradoxes and Revitalisation</w:t>
      </w:r>
      <w:r>
        <w:rPr>
          <w:rFonts w:ascii="Times New Roman" w:hAnsi="Times New Roman"/>
          <w:lang w:val="en-GB"/>
        </w:rPr>
        <w:t xml:space="preserve"> (</w:t>
      </w:r>
      <w:r w:rsidRPr="00D73610">
        <w:rPr>
          <w:rFonts w:ascii="Times New Roman" w:hAnsi="Times New Roman"/>
          <w:lang w:val="en-GB"/>
        </w:rPr>
        <w:t>Copenhagen</w:t>
      </w:r>
      <w:r>
        <w:rPr>
          <w:rFonts w:ascii="Times New Roman" w:hAnsi="Times New Roman"/>
          <w:lang w:val="en-GB"/>
        </w:rPr>
        <w:t>:</w:t>
      </w:r>
      <w:r w:rsidRPr="00D73610">
        <w:rPr>
          <w:rFonts w:ascii="Times New Roman" w:hAnsi="Times New Roman"/>
          <w:lang w:val="en-GB"/>
        </w:rPr>
        <w:t xml:space="preserve"> DJØF, 2011</w:t>
      </w:r>
      <w:r>
        <w:rPr>
          <w:rFonts w:ascii="Times New Roman" w:hAnsi="Times New Roman"/>
          <w:lang w:val="en-GB"/>
        </w:rPr>
        <w:t>)</w:t>
      </w:r>
      <w:r w:rsidRPr="00D73610">
        <w:rPr>
          <w:rFonts w:ascii="Times New Roman" w:hAnsi="Times New Roman"/>
          <w:lang w:val="en-GB"/>
        </w:rPr>
        <w:t xml:space="preserve">, 95–184, </w:t>
      </w:r>
      <w:r>
        <w:rPr>
          <w:rFonts w:ascii="Times New Roman" w:hAnsi="Times New Roman"/>
          <w:lang w:val="en-GB"/>
        </w:rPr>
        <w:t xml:space="preserve">at </w:t>
      </w:r>
      <w:r w:rsidRPr="00D73610">
        <w:rPr>
          <w:rFonts w:ascii="Times New Roman" w:hAnsi="Times New Roman"/>
          <w:lang w:val="en-GB"/>
        </w:rPr>
        <w:t>122.</w:t>
      </w:r>
    </w:p>
  </w:footnote>
  <w:footnote w:id="71">
    <w:p w:rsidR="005E6612" w:rsidRDefault="005E6612" w:rsidP="000120C6">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P. Pescatore, </w:t>
      </w:r>
      <w:r>
        <w:rPr>
          <w:rFonts w:ascii="Times New Roman" w:hAnsi="Times New Roman"/>
          <w:lang w:val="en-GB"/>
        </w:rPr>
        <w:t>‘</w:t>
      </w:r>
      <w:r w:rsidRPr="00D73610">
        <w:rPr>
          <w:rFonts w:ascii="Times New Roman" w:hAnsi="Times New Roman"/>
          <w:lang w:val="en-GB"/>
        </w:rPr>
        <w:t>Les objectifs de la Communauté européenne comme principes d’interprétation dans la jurisprudence de la Cour de Justice</w:t>
      </w:r>
      <w:r>
        <w:rPr>
          <w:rFonts w:ascii="Times New Roman" w:hAnsi="Times New Roman"/>
          <w:lang w:val="en-GB"/>
        </w:rPr>
        <w:t>’</w:t>
      </w:r>
      <w:r w:rsidRPr="00D73610">
        <w:rPr>
          <w:rFonts w:ascii="Times New Roman" w:hAnsi="Times New Roman"/>
          <w:lang w:val="en-GB"/>
        </w:rPr>
        <w:t xml:space="preserve">, in </w:t>
      </w:r>
      <w:r w:rsidRPr="00D73610">
        <w:rPr>
          <w:rFonts w:ascii="Times New Roman" w:hAnsi="Times New Roman"/>
          <w:i/>
          <w:iCs/>
          <w:lang w:val="en-GB"/>
        </w:rPr>
        <w:t>Miscellanea W. J. Ganshof van der Meersch</w:t>
      </w:r>
      <w:r>
        <w:rPr>
          <w:rFonts w:ascii="Times New Roman" w:hAnsi="Times New Roman"/>
          <w:lang w:val="en-GB"/>
        </w:rPr>
        <w:t>, Vol. II (Bruxelles-Paris:</w:t>
      </w:r>
      <w:r w:rsidRPr="00D73610">
        <w:rPr>
          <w:rFonts w:ascii="Times New Roman" w:hAnsi="Times New Roman"/>
          <w:lang w:val="en-GB"/>
        </w:rPr>
        <w:t xml:space="preserve"> Bruylant- LGDJ, 1972</w:t>
      </w:r>
      <w:r>
        <w:rPr>
          <w:rFonts w:ascii="Times New Roman" w:hAnsi="Times New Roman"/>
          <w:lang w:val="en-GB"/>
        </w:rPr>
        <w:t>)</w:t>
      </w:r>
      <w:r w:rsidRPr="00D73610">
        <w:rPr>
          <w:rFonts w:ascii="Times New Roman" w:hAnsi="Times New Roman"/>
          <w:lang w:val="en-GB"/>
        </w:rPr>
        <w:t xml:space="preserve">, 325–363; H. Kutscher, </w:t>
      </w:r>
      <w:r>
        <w:rPr>
          <w:rFonts w:ascii="Times New Roman" w:hAnsi="Times New Roman"/>
          <w:lang w:val="en-GB"/>
        </w:rPr>
        <w:t>‘</w:t>
      </w:r>
      <w:r w:rsidRPr="00D73610">
        <w:rPr>
          <w:rFonts w:ascii="Times New Roman" w:hAnsi="Times New Roman"/>
          <w:lang w:val="en-GB"/>
        </w:rPr>
        <w:t>Alcune tesi sui metodi d’interpretazione del diritto comunitario dal punto di vista d’un giudice</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iCs/>
          <w:lang w:val="en-GB"/>
        </w:rPr>
        <w:t>Rivista di diritto europeo</w:t>
      </w:r>
      <w:r>
        <w:rPr>
          <w:rFonts w:ascii="Times New Roman" w:hAnsi="Times New Roman"/>
          <w:lang w:val="en-GB"/>
        </w:rPr>
        <w:t xml:space="preserve"> (</w:t>
      </w:r>
      <w:r w:rsidRPr="00D73610">
        <w:rPr>
          <w:rFonts w:ascii="Times New Roman" w:hAnsi="Times New Roman"/>
          <w:lang w:val="en-GB"/>
        </w:rPr>
        <w:t>1976</w:t>
      </w:r>
      <w:r>
        <w:rPr>
          <w:rFonts w:ascii="Times New Roman" w:hAnsi="Times New Roman"/>
          <w:lang w:val="en-GB"/>
        </w:rPr>
        <w:t>)</w:t>
      </w:r>
      <w:r w:rsidRPr="00D73610">
        <w:rPr>
          <w:rFonts w:ascii="Times New Roman" w:hAnsi="Times New Roman"/>
          <w:lang w:val="en-GB"/>
        </w:rPr>
        <w:t xml:space="preserve">, 283–314 and </w:t>
      </w:r>
      <w:r>
        <w:rPr>
          <w:rFonts w:ascii="Times New Roman" w:hAnsi="Times New Roman"/>
          <w:lang w:val="en-GB"/>
        </w:rPr>
        <w:t>(</w:t>
      </w:r>
      <w:r w:rsidRPr="00D73610">
        <w:rPr>
          <w:rFonts w:ascii="Times New Roman" w:hAnsi="Times New Roman"/>
          <w:lang w:val="en-GB"/>
        </w:rPr>
        <w:t>1977</w:t>
      </w:r>
      <w:r>
        <w:rPr>
          <w:rFonts w:ascii="Times New Roman" w:hAnsi="Times New Roman"/>
          <w:lang w:val="en-GB"/>
        </w:rPr>
        <w:t>)</w:t>
      </w:r>
      <w:r w:rsidRPr="00D73610">
        <w:rPr>
          <w:rFonts w:ascii="Times New Roman" w:hAnsi="Times New Roman"/>
          <w:lang w:val="en-GB"/>
        </w:rPr>
        <w:t xml:space="preserve">, 3–24; R. Lecourt, </w:t>
      </w:r>
      <w:r w:rsidRPr="00D73610">
        <w:rPr>
          <w:rFonts w:ascii="Times New Roman" w:hAnsi="Times New Roman"/>
          <w:i/>
          <w:iCs/>
          <w:lang w:val="en-GB"/>
        </w:rPr>
        <w:t>L’Europe des juges</w:t>
      </w:r>
      <w:r>
        <w:rPr>
          <w:rFonts w:ascii="Times New Roman" w:hAnsi="Times New Roman"/>
          <w:lang w:val="en-GB"/>
        </w:rPr>
        <w:t xml:space="preserve"> (</w:t>
      </w:r>
      <w:r w:rsidRPr="00D73610">
        <w:rPr>
          <w:rFonts w:ascii="Times New Roman" w:hAnsi="Times New Roman"/>
          <w:lang w:val="en-GB"/>
        </w:rPr>
        <w:t>Bruxelles</w:t>
      </w:r>
      <w:r>
        <w:rPr>
          <w:rFonts w:ascii="Times New Roman" w:hAnsi="Times New Roman"/>
          <w:lang w:val="en-GB"/>
        </w:rPr>
        <w:t>:</w:t>
      </w:r>
      <w:r w:rsidRPr="00D73610">
        <w:rPr>
          <w:rFonts w:ascii="Times New Roman" w:hAnsi="Times New Roman"/>
          <w:lang w:val="en-GB"/>
        </w:rPr>
        <w:t xml:space="preserve"> Bruylant, 1976</w:t>
      </w:r>
      <w:r>
        <w:rPr>
          <w:rFonts w:ascii="Times New Roman" w:hAnsi="Times New Roman"/>
          <w:lang w:val="en-GB"/>
        </w:rPr>
        <w:t>)</w:t>
      </w:r>
      <w:r w:rsidRPr="00D73610">
        <w:rPr>
          <w:rFonts w:ascii="Times New Roman" w:hAnsi="Times New Roman"/>
          <w:lang w:val="en-GB"/>
        </w:rPr>
        <w:t xml:space="preserve">, 235 f.; </w:t>
      </w:r>
      <w:r>
        <w:rPr>
          <w:rFonts w:ascii="Times New Roman" w:hAnsi="Times New Roman"/>
          <w:bCs/>
          <w:iCs/>
          <w:lang w:val="en-GB"/>
        </w:rPr>
        <w:t>G.F. Mancini, D.T. Keeling, ‘</w:t>
      </w:r>
      <w:r w:rsidRPr="00D73610">
        <w:rPr>
          <w:rFonts w:ascii="Times New Roman" w:hAnsi="Times New Roman"/>
          <w:bCs/>
          <w:iCs/>
          <w:lang w:val="en-GB"/>
        </w:rPr>
        <w:t>Democracy and the European Court of Justice</w:t>
      </w:r>
      <w:r>
        <w:rPr>
          <w:rFonts w:ascii="Times New Roman" w:hAnsi="Times New Roman"/>
          <w:bCs/>
          <w:iCs/>
          <w:lang w:val="en-GB"/>
        </w:rPr>
        <w:t>’</w:t>
      </w:r>
      <w:r w:rsidRPr="00D73610">
        <w:rPr>
          <w:rFonts w:ascii="Times New Roman" w:hAnsi="Times New Roman"/>
          <w:bCs/>
          <w:iCs/>
          <w:lang w:val="en-GB"/>
        </w:rPr>
        <w:t xml:space="preserve">, </w:t>
      </w:r>
      <w:r w:rsidRPr="00D73610">
        <w:rPr>
          <w:rFonts w:ascii="Times New Roman" w:hAnsi="Times New Roman"/>
          <w:bCs/>
          <w:i/>
          <w:iCs/>
          <w:lang w:val="en-GB"/>
        </w:rPr>
        <w:t>Modern Law Review</w:t>
      </w:r>
      <w:r w:rsidRPr="00D73610">
        <w:rPr>
          <w:rFonts w:ascii="Times New Roman" w:hAnsi="Times New Roman"/>
          <w:bCs/>
          <w:iCs/>
          <w:lang w:val="en-GB"/>
        </w:rPr>
        <w:t>, 57</w:t>
      </w:r>
      <w:r>
        <w:rPr>
          <w:rFonts w:ascii="Times New Roman" w:hAnsi="Times New Roman"/>
          <w:bCs/>
          <w:iCs/>
          <w:lang w:val="en-GB"/>
        </w:rPr>
        <w:t xml:space="preserve"> (</w:t>
      </w:r>
      <w:r w:rsidRPr="00D73610">
        <w:rPr>
          <w:rFonts w:ascii="Times New Roman" w:hAnsi="Times New Roman"/>
          <w:bCs/>
          <w:iCs/>
          <w:lang w:val="en-GB"/>
        </w:rPr>
        <w:t>1994</w:t>
      </w:r>
      <w:r>
        <w:rPr>
          <w:rFonts w:ascii="Times New Roman" w:hAnsi="Times New Roman"/>
          <w:bCs/>
          <w:iCs/>
          <w:lang w:val="en-GB"/>
        </w:rPr>
        <w:t>)</w:t>
      </w:r>
      <w:r w:rsidRPr="00D73610">
        <w:rPr>
          <w:rFonts w:ascii="Times New Roman" w:hAnsi="Times New Roman"/>
          <w:bCs/>
          <w:iCs/>
          <w:lang w:val="en-GB"/>
        </w:rPr>
        <w:t>, 175</w:t>
      </w:r>
      <w:r w:rsidRPr="00D73610">
        <w:rPr>
          <w:rFonts w:ascii="Times New Roman" w:hAnsi="Times New Roman"/>
          <w:lang w:val="en-GB"/>
        </w:rPr>
        <w:t>–</w:t>
      </w:r>
      <w:r w:rsidRPr="00D73610">
        <w:rPr>
          <w:rFonts w:ascii="Times New Roman" w:hAnsi="Times New Roman"/>
          <w:bCs/>
          <w:iCs/>
          <w:lang w:val="en-GB"/>
        </w:rPr>
        <w:t xml:space="preserve">190, </w:t>
      </w:r>
      <w:r>
        <w:rPr>
          <w:rFonts w:ascii="Times New Roman" w:hAnsi="Times New Roman"/>
          <w:bCs/>
          <w:iCs/>
          <w:lang w:val="en-GB"/>
        </w:rPr>
        <w:t xml:space="preserve">at </w:t>
      </w:r>
      <w:r w:rsidRPr="00D73610">
        <w:rPr>
          <w:rFonts w:ascii="Times New Roman" w:hAnsi="Times New Roman"/>
          <w:bCs/>
          <w:iCs/>
          <w:lang w:val="en-GB"/>
        </w:rPr>
        <w:t xml:space="preserve">186; </w:t>
      </w:r>
      <w:r>
        <w:rPr>
          <w:rFonts w:ascii="Times New Roman" w:hAnsi="Times New Roman"/>
          <w:snapToGrid w:val="0"/>
          <w:u w:color="000000"/>
          <w:lang w:val="en-GB"/>
        </w:rPr>
        <w:t>M.P. Maduro, ‘</w:t>
      </w:r>
      <w:r w:rsidRPr="00D73610">
        <w:rPr>
          <w:rFonts w:ascii="Times New Roman" w:hAnsi="Times New Roman"/>
          <w:snapToGrid w:val="0"/>
          <w:u w:color="000000"/>
          <w:lang w:val="en-GB"/>
        </w:rPr>
        <w:t>Interpreting European Law: Judicial Adjudication in a Context of Constitutional Pluralism</w:t>
      </w:r>
      <w:r>
        <w:rPr>
          <w:rFonts w:ascii="Times New Roman" w:hAnsi="Times New Roman"/>
          <w:snapToGrid w:val="0"/>
          <w:u w:color="000000"/>
          <w:lang w:val="en-GB"/>
        </w:rPr>
        <w:t>’</w:t>
      </w:r>
      <w:r w:rsidRPr="00D73610">
        <w:rPr>
          <w:rFonts w:ascii="Times New Roman" w:hAnsi="Times New Roman"/>
          <w:snapToGrid w:val="0"/>
          <w:u w:color="000000"/>
          <w:lang w:val="en-GB"/>
        </w:rPr>
        <w:t xml:space="preserve">, </w:t>
      </w:r>
      <w:r w:rsidRPr="00D73610">
        <w:rPr>
          <w:rFonts w:ascii="Times New Roman" w:hAnsi="Times New Roman"/>
          <w:i/>
          <w:snapToGrid w:val="0"/>
          <w:u w:color="000000"/>
          <w:lang w:val="en-GB"/>
        </w:rPr>
        <w:t>European Journal of Legal Studies</w:t>
      </w:r>
      <w:r>
        <w:rPr>
          <w:rFonts w:ascii="Times New Roman" w:hAnsi="Times New Roman"/>
          <w:snapToGrid w:val="0"/>
          <w:u w:color="000000"/>
          <w:lang w:val="en-GB"/>
        </w:rPr>
        <w:t xml:space="preserve"> (2007),</w:t>
      </w:r>
      <w:r w:rsidRPr="00C13CDF">
        <w:rPr>
          <w:lang w:val="en-GB"/>
        </w:rPr>
        <w:t xml:space="preserve"> </w:t>
      </w:r>
      <w:r w:rsidRPr="000120C6">
        <w:rPr>
          <w:rFonts w:ascii="Times New Roman" w:hAnsi="Times New Roman"/>
          <w:snapToGrid w:val="0"/>
          <w:u w:color="0000FF"/>
          <w:lang w:val="en-GB"/>
        </w:rPr>
        <w:t>http://www.ejls.eu/2/25UK.pdf</w:t>
      </w:r>
      <w:r w:rsidRPr="00C25FE7">
        <w:rPr>
          <w:rFonts w:ascii="Times New Roman" w:hAnsi="Times New Roman"/>
          <w:snapToGrid w:val="0"/>
          <w:u w:color="0000FF"/>
          <w:lang w:val="en-GB"/>
        </w:rPr>
        <w:t xml:space="preserve"> </w:t>
      </w:r>
    </w:p>
  </w:footnote>
  <w:footnote w:id="72">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K. Lenaerts, </w:t>
      </w:r>
      <w:r>
        <w:rPr>
          <w:rFonts w:ascii="Times New Roman" w:hAnsi="Times New Roman"/>
          <w:lang w:val="en-GB"/>
        </w:rPr>
        <w:t>‘</w:t>
      </w:r>
      <w:r w:rsidRPr="00D73610">
        <w:rPr>
          <w:rFonts w:ascii="Times New Roman" w:hAnsi="Times New Roman"/>
          <w:bCs/>
          <w:lang w:val="en-GB"/>
        </w:rPr>
        <w:t>Interpretation and the Court of Justice:</w:t>
      </w:r>
      <w:r w:rsidRPr="00D73610">
        <w:rPr>
          <w:rFonts w:ascii="Times New Roman" w:hAnsi="Times New Roman"/>
          <w:lang w:val="en-GB"/>
        </w:rPr>
        <w:t> A Basis for Comparative Reflection</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lang w:val="en-GB"/>
        </w:rPr>
        <w:t>The International Lawyer</w:t>
      </w:r>
      <w:r>
        <w:rPr>
          <w:rFonts w:ascii="Times New Roman" w:hAnsi="Times New Roman"/>
          <w:lang w:val="en-GB"/>
        </w:rPr>
        <w:t>, 41 (</w:t>
      </w:r>
      <w:r w:rsidRPr="00D73610">
        <w:rPr>
          <w:rFonts w:ascii="Times New Roman" w:hAnsi="Times New Roman"/>
          <w:lang w:val="en-GB"/>
        </w:rPr>
        <w:t>2007</w:t>
      </w:r>
      <w:r>
        <w:rPr>
          <w:rFonts w:ascii="Times New Roman" w:hAnsi="Times New Roman"/>
          <w:lang w:val="en-GB"/>
        </w:rPr>
        <w:t>)</w:t>
      </w:r>
      <w:r w:rsidRPr="00D73610">
        <w:rPr>
          <w:rFonts w:ascii="Times New Roman" w:hAnsi="Times New Roman"/>
          <w:lang w:val="en-GB"/>
        </w:rPr>
        <w:t>, 1011</w:t>
      </w:r>
      <w:r w:rsidRPr="00D73610">
        <w:rPr>
          <w:rFonts w:ascii="Times New Roman" w:hAnsi="Times New Roman"/>
          <w:iCs/>
          <w:lang w:val="en-GB"/>
        </w:rPr>
        <w:t>–</w:t>
      </w:r>
      <w:r w:rsidRPr="00D73610">
        <w:rPr>
          <w:rFonts w:ascii="Times New Roman" w:hAnsi="Times New Roman"/>
          <w:lang w:val="en-GB"/>
        </w:rPr>
        <w:t xml:space="preserve">1032. </w:t>
      </w:r>
      <w:r>
        <w:rPr>
          <w:rFonts w:ascii="Times New Roman" w:hAnsi="Times New Roman"/>
          <w:lang w:val="en-GB"/>
        </w:rPr>
        <w:t>F</w:t>
      </w:r>
      <w:r w:rsidRPr="00D73610">
        <w:rPr>
          <w:rFonts w:ascii="Times New Roman" w:hAnsi="Times New Roman"/>
          <w:lang w:val="en-GB"/>
        </w:rPr>
        <w:t xml:space="preserve">or extensive references to the first EC legal scholarship, </w:t>
      </w:r>
      <w:r>
        <w:rPr>
          <w:rFonts w:ascii="Times New Roman" w:hAnsi="Times New Roman"/>
          <w:lang w:val="en-GB"/>
        </w:rPr>
        <w:t xml:space="preserve">see </w:t>
      </w:r>
      <w:r w:rsidRPr="00D73610">
        <w:rPr>
          <w:rFonts w:ascii="Times New Roman" w:hAnsi="Times New Roman"/>
          <w:lang w:val="en-GB"/>
        </w:rPr>
        <w:t xml:space="preserve">G. Itzcovich, </w:t>
      </w:r>
      <w:r w:rsidRPr="00D73610">
        <w:rPr>
          <w:rFonts w:ascii="Times New Roman" w:hAnsi="Times New Roman"/>
          <w:i/>
          <w:lang w:val="en-GB"/>
        </w:rPr>
        <w:t>Teorie e ideologie</w:t>
      </w:r>
      <w:r w:rsidRPr="00D73610">
        <w:rPr>
          <w:rFonts w:ascii="Times New Roman" w:hAnsi="Times New Roman"/>
          <w:lang w:val="en-GB"/>
        </w:rPr>
        <w:t>, cit., 93 ff. and 97 ff.</w:t>
      </w:r>
    </w:p>
  </w:footnote>
  <w:footnote w:id="73">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s-ES"/>
        </w:rPr>
        <w:t xml:space="preserve"> </w:t>
      </w:r>
      <w:r w:rsidRPr="00B27D8E">
        <w:rPr>
          <w:rFonts w:ascii="Times New Roman" w:hAnsi="Times New Roman"/>
          <w:i/>
          <w:iCs/>
          <w:lang w:val="es-ES"/>
        </w:rPr>
        <w:t>Van Gend en Loos</w:t>
      </w:r>
      <w:r w:rsidRPr="00B27D8E">
        <w:rPr>
          <w:rFonts w:ascii="Times New Roman" w:hAnsi="Times New Roman"/>
          <w:lang w:val="es-ES"/>
        </w:rPr>
        <w:t xml:space="preserve"> [1963], 12.</w:t>
      </w:r>
    </w:p>
  </w:footnote>
  <w:footnote w:id="74">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s-ES"/>
        </w:rPr>
        <w:t xml:space="preserve"> </w:t>
      </w:r>
      <w:r w:rsidRPr="00B27D8E">
        <w:rPr>
          <w:rFonts w:ascii="Times New Roman" w:hAnsi="Times New Roman"/>
          <w:i/>
          <w:iCs/>
          <w:lang w:val="es-ES"/>
        </w:rPr>
        <w:t xml:space="preserve">Viking </w:t>
      </w:r>
      <w:r>
        <w:rPr>
          <w:rFonts w:ascii="Times New Roman" w:hAnsi="Times New Roman"/>
          <w:lang w:val="es-ES"/>
        </w:rPr>
        <w:t>[2007], para. 79</w:t>
      </w:r>
      <w:r w:rsidRPr="00B27D8E">
        <w:rPr>
          <w:rFonts w:ascii="Times New Roman" w:hAnsi="Times New Roman"/>
          <w:lang w:val="es-ES"/>
        </w:rPr>
        <w:t>.</w:t>
      </w:r>
    </w:p>
  </w:footnote>
  <w:footnote w:id="75">
    <w:p w:rsidR="005E6612" w:rsidRDefault="005E6612" w:rsidP="00B27D8E">
      <w:pPr>
        <w:pStyle w:val="Testonotaapidipagina"/>
        <w:jc w:val="both"/>
      </w:pPr>
      <w:r w:rsidRPr="00550AFF">
        <w:rPr>
          <w:rStyle w:val="Rimandonotaapidipagina"/>
          <w:rFonts w:ascii="Times New Roman" w:hAnsi="Times New Roman"/>
          <w:lang w:val="en-GB"/>
        </w:rPr>
        <w:footnoteRef/>
      </w:r>
      <w:r w:rsidRPr="00B27D8E">
        <w:rPr>
          <w:rFonts w:ascii="Times New Roman" w:hAnsi="Times New Roman"/>
          <w:iCs/>
          <w:lang w:val="es-ES"/>
        </w:rPr>
        <w:t xml:space="preserve"> </w:t>
      </w:r>
      <w:r w:rsidRPr="00B27D8E">
        <w:rPr>
          <w:rFonts w:ascii="Times New Roman" w:hAnsi="Times New Roman"/>
          <w:i/>
          <w:iCs/>
          <w:lang w:val="es-ES"/>
        </w:rPr>
        <w:t>Costa</w:t>
      </w:r>
      <w:r w:rsidRPr="00B27D8E">
        <w:rPr>
          <w:rFonts w:ascii="Times New Roman" w:hAnsi="Times New Roman"/>
          <w:lang w:val="es-ES"/>
        </w:rPr>
        <w:t xml:space="preserve"> [1964], 594.</w:t>
      </w:r>
    </w:p>
  </w:footnote>
  <w:footnote w:id="76">
    <w:p w:rsidR="005E6612" w:rsidRDefault="005E6612" w:rsidP="00B27D8E">
      <w:pPr>
        <w:pStyle w:val="Testonotaapidipagina"/>
        <w:jc w:val="both"/>
      </w:pPr>
      <w:r w:rsidRPr="00B83FC2">
        <w:rPr>
          <w:rStyle w:val="Rimandonotaapidipagina"/>
          <w:rFonts w:ascii="Times New Roman" w:hAnsi="Times New Roman"/>
          <w:lang w:val="en-GB"/>
        </w:rPr>
        <w:footnoteRef/>
      </w:r>
      <w:r w:rsidRPr="00B83FC2">
        <w:rPr>
          <w:rFonts w:ascii="Times New Roman" w:hAnsi="Times New Roman"/>
          <w:iCs/>
          <w:lang w:val="es-ES"/>
        </w:rPr>
        <w:t xml:space="preserve"> </w:t>
      </w:r>
      <w:r w:rsidRPr="00B83FC2">
        <w:rPr>
          <w:rFonts w:ascii="Times New Roman" w:hAnsi="Times New Roman"/>
          <w:i/>
          <w:iCs/>
          <w:lang w:val="es-ES"/>
        </w:rPr>
        <w:t>Grad</w:t>
      </w:r>
      <w:r w:rsidRPr="00B83FC2">
        <w:rPr>
          <w:rFonts w:ascii="Times New Roman" w:hAnsi="Times New Roman"/>
          <w:lang w:val="es-ES"/>
        </w:rPr>
        <w:t xml:space="preserve"> [1970], para. </w:t>
      </w:r>
      <w:r>
        <w:rPr>
          <w:rFonts w:ascii="Times New Roman" w:hAnsi="Times New Roman"/>
          <w:lang w:val="en-GB"/>
        </w:rPr>
        <w:t>5. Other examples can be found in</w:t>
      </w:r>
      <w:r w:rsidRPr="00B83FC2">
        <w:rPr>
          <w:rFonts w:ascii="Times New Roman" w:hAnsi="Times New Roman"/>
          <w:lang w:val="en-GB"/>
        </w:rPr>
        <w:t xml:space="preserve"> </w:t>
      </w:r>
      <w:r w:rsidRPr="00B83FC2">
        <w:rPr>
          <w:rFonts w:ascii="Times New Roman" w:hAnsi="Times New Roman"/>
          <w:i/>
          <w:iCs/>
          <w:lang w:val="en-GB"/>
        </w:rPr>
        <w:t xml:space="preserve">Simmenthal </w:t>
      </w:r>
      <w:r w:rsidRPr="00B83FC2">
        <w:rPr>
          <w:rFonts w:ascii="Times New Roman" w:hAnsi="Times New Roman"/>
          <w:lang w:val="en-GB"/>
        </w:rPr>
        <w:t>[1978], para. 18</w:t>
      </w:r>
      <w:r>
        <w:rPr>
          <w:rFonts w:ascii="Times New Roman" w:hAnsi="Times New Roman"/>
          <w:lang w:val="en-GB"/>
        </w:rPr>
        <w:t xml:space="preserve">; </w:t>
      </w:r>
      <w:r w:rsidRPr="00B83FC2">
        <w:rPr>
          <w:rFonts w:ascii="Times New Roman" w:hAnsi="Times New Roman"/>
          <w:i/>
          <w:lang w:val="es-ES"/>
        </w:rPr>
        <w:t xml:space="preserve">Carpenter </w:t>
      </w:r>
      <w:r w:rsidRPr="00B83FC2">
        <w:rPr>
          <w:rFonts w:ascii="Times New Roman" w:hAnsi="Times New Roman"/>
          <w:lang w:val="es-ES"/>
        </w:rPr>
        <w:t>[2002], para. 39</w:t>
      </w:r>
      <w:r>
        <w:rPr>
          <w:rFonts w:ascii="Times New Roman" w:hAnsi="Times New Roman"/>
          <w:lang w:val="es-ES"/>
        </w:rPr>
        <w:t>.</w:t>
      </w:r>
    </w:p>
  </w:footnote>
  <w:footnote w:id="77">
    <w:p w:rsidR="005E6612" w:rsidRDefault="005E6612" w:rsidP="00B27D8E">
      <w:pPr>
        <w:pStyle w:val="Testonotaapidipagina"/>
        <w:jc w:val="both"/>
      </w:pPr>
      <w:r w:rsidRPr="00FB78EE">
        <w:rPr>
          <w:rStyle w:val="Rimandonotaapidipagina"/>
          <w:rFonts w:ascii="Times New Roman" w:hAnsi="Times New Roman"/>
          <w:lang w:val="en-GB"/>
        </w:rPr>
        <w:footnoteRef/>
      </w:r>
      <w:r w:rsidRPr="00B27D8E">
        <w:rPr>
          <w:rFonts w:ascii="Times New Roman" w:hAnsi="Times New Roman"/>
          <w:lang w:val="es-ES"/>
        </w:rPr>
        <w:t xml:space="preserve"> </w:t>
      </w:r>
      <w:r w:rsidRPr="00B27D8E">
        <w:rPr>
          <w:rFonts w:ascii="Times New Roman" w:hAnsi="Times New Roman"/>
          <w:i/>
          <w:iCs/>
          <w:lang w:val="es-ES"/>
        </w:rPr>
        <w:t>Pupino</w:t>
      </w:r>
      <w:r w:rsidRPr="00B27D8E">
        <w:rPr>
          <w:rFonts w:ascii="Times New Roman" w:hAnsi="Times New Roman"/>
          <w:lang w:val="es-ES"/>
        </w:rPr>
        <w:t xml:space="preserve"> [2005], para. </w:t>
      </w:r>
      <w:r w:rsidRPr="00FB78EE">
        <w:rPr>
          <w:rFonts w:ascii="Times New Roman" w:hAnsi="Times New Roman"/>
          <w:lang w:val="en-GB"/>
        </w:rPr>
        <w:t xml:space="preserve">36. The argument could also be qualified as </w:t>
      </w:r>
      <w:r w:rsidRPr="00FB78EE">
        <w:rPr>
          <w:rFonts w:ascii="Times New Roman" w:hAnsi="Times New Roman"/>
          <w:iCs/>
          <w:lang w:val="en-GB"/>
        </w:rPr>
        <w:t xml:space="preserve">harmonising interpretation and/or objective teleological reasoning: </w:t>
      </w:r>
      <w:r>
        <w:rPr>
          <w:rFonts w:ascii="Times New Roman" w:hAnsi="Times New Roman"/>
          <w:iCs/>
          <w:shd w:val="clear" w:color="auto" w:fill="FFFFFF"/>
          <w:lang w:val="en-GB"/>
        </w:rPr>
        <w:t>‘</w:t>
      </w:r>
      <w:r w:rsidRPr="00FB78EE">
        <w:rPr>
          <w:rFonts w:ascii="Times New Roman" w:hAnsi="Times New Roman"/>
          <w:iCs/>
          <w:shd w:val="clear" w:color="auto" w:fill="FFFFFF"/>
          <w:lang w:val="en-GB"/>
        </w:rPr>
        <w:t>Irrespective</w:t>
      </w:r>
      <w:r w:rsidRPr="00D73610">
        <w:rPr>
          <w:rFonts w:ascii="Times New Roman" w:hAnsi="Times New Roman"/>
          <w:iCs/>
          <w:shd w:val="clear" w:color="auto" w:fill="FFFFFF"/>
          <w:lang w:val="en-GB"/>
        </w:rPr>
        <w:t xml:space="preserve"> of the degree of integration envisaged by the Treaty of Amsterdam …, it is perfectly comprehensible that the authors of the Treaty on European Union should have consider</w:t>
      </w:r>
      <w:r>
        <w:rPr>
          <w:rFonts w:ascii="Times New Roman" w:hAnsi="Times New Roman"/>
          <w:iCs/>
          <w:shd w:val="clear" w:color="auto" w:fill="FFFFFF"/>
          <w:lang w:val="en-GB"/>
        </w:rPr>
        <w:t xml:space="preserve">ed it useful to make provision ... </w:t>
      </w:r>
      <w:r w:rsidRPr="00D73610">
        <w:rPr>
          <w:rFonts w:ascii="Times New Roman" w:hAnsi="Times New Roman"/>
          <w:iCs/>
          <w:shd w:val="clear" w:color="auto" w:fill="FFFFFF"/>
          <w:lang w:val="en-GB"/>
        </w:rPr>
        <w:t>for recourse to legal instruments [framework decisions] with effects similar to those provided for by the EC Treaty, in order to contribute effectively to the pursuit of the Union’s objectives</w:t>
      </w:r>
      <w:r>
        <w:rPr>
          <w:rFonts w:ascii="Times New Roman" w:hAnsi="Times New Roman"/>
          <w:iCs/>
          <w:shd w:val="clear" w:color="auto" w:fill="FFFFFF"/>
          <w:lang w:val="en-GB"/>
        </w:rPr>
        <w:t>’</w:t>
      </w:r>
      <w:r w:rsidRPr="00D73610">
        <w:rPr>
          <w:rFonts w:ascii="Times New Roman" w:hAnsi="Times New Roman"/>
          <w:iCs/>
          <w:shd w:val="clear" w:color="auto" w:fill="FFFFFF"/>
          <w:lang w:val="en-GB"/>
        </w:rPr>
        <w:t>.</w:t>
      </w:r>
    </w:p>
  </w:footnote>
  <w:footnote w:id="78">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i/>
          <w:iCs/>
          <w:lang w:val="en-GB"/>
        </w:rPr>
        <w:t>Van Gend en Loos</w:t>
      </w:r>
      <w:r w:rsidRPr="00D73610">
        <w:rPr>
          <w:rFonts w:ascii="Times New Roman" w:hAnsi="Times New Roman"/>
          <w:lang w:val="en-GB"/>
        </w:rPr>
        <w:t xml:space="preserve"> [1963], 12.</w:t>
      </w:r>
    </w:p>
  </w:footnote>
  <w:footnote w:id="79">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See Neville Brown and Kennedy, </w:t>
      </w:r>
      <w:r w:rsidRPr="00D73610">
        <w:rPr>
          <w:rFonts w:ascii="Times New Roman" w:hAnsi="Times New Roman"/>
          <w:i/>
          <w:lang w:val="en-GB"/>
        </w:rPr>
        <w:t>The Court of Justice</w:t>
      </w:r>
      <w:r w:rsidRPr="00D73610">
        <w:rPr>
          <w:rFonts w:ascii="Times New Roman" w:hAnsi="Times New Roman"/>
          <w:lang w:val="en-GB"/>
        </w:rPr>
        <w:t xml:space="preserve">, cit., 330 ff., for references to Pescatore, Lecourt and to Case C-6/60, </w:t>
      </w:r>
      <w:r w:rsidRPr="00D73610">
        <w:rPr>
          <w:rFonts w:ascii="Times New Roman" w:hAnsi="Times New Roman"/>
          <w:i/>
          <w:iCs/>
          <w:lang w:val="en-GB"/>
        </w:rPr>
        <w:t xml:space="preserve">Humblet </w:t>
      </w:r>
      <w:r w:rsidRPr="00D73610">
        <w:rPr>
          <w:rFonts w:ascii="Times New Roman" w:hAnsi="Times New Roman"/>
          <w:lang w:val="en-GB"/>
        </w:rPr>
        <w:t xml:space="preserve">[1960] 559, 575: </w:t>
      </w:r>
      <w:r>
        <w:rPr>
          <w:rFonts w:ascii="Times New Roman" w:hAnsi="Times New Roman"/>
          <w:lang w:val="en-GB"/>
        </w:rPr>
        <w:t>‘</w:t>
      </w:r>
      <w:r w:rsidRPr="00D73610">
        <w:rPr>
          <w:rFonts w:ascii="Times New Roman" w:hAnsi="Times New Roman"/>
          <w:lang w:val="en-GB"/>
        </w:rPr>
        <w:t>The opinions of the governments put forward during the parliamentary debates on the ECSC Treaty do not touch on this question</w:t>
      </w:r>
      <w:r>
        <w:rPr>
          <w:rFonts w:ascii="Times New Roman" w:hAnsi="Times New Roman"/>
          <w:lang w:val="en-GB"/>
        </w:rPr>
        <w:t>’</w:t>
      </w:r>
      <w:r w:rsidRPr="00D73610">
        <w:rPr>
          <w:rFonts w:ascii="Times New Roman" w:hAnsi="Times New Roman"/>
          <w:iCs/>
          <w:lang w:val="en-GB"/>
        </w:rPr>
        <w:t>.</w:t>
      </w:r>
    </w:p>
  </w:footnote>
  <w:footnote w:id="80">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iCs/>
          <w:lang w:val="en-GB"/>
        </w:rPr>
        <w:t xml:space="preserve">This rationale can be inferred from cases that dealt with EC secondary legislation: Case C-15/60, </w:t>
      </w:r>
      <w:r w:rsidRPr="00D73610">
        <w:rPr>
          <w:rFonts w:ascii="Times New Roman" w:hAnsi="Times New Roman"/>
          <w:i/>
          <w:iCs/>
          <w:lang w:val="en-GB"/>
        </w:rPr>
        <w:t xml:space="preserve">Simon </w:t>
      </w:r>
      <w:r w:rsidRPr="00D73610">
        <w:rPr>
          <w:rFonts w:ascii="Times New Roman" w:hAnsi="Times New Roman"/>
          <w:iCs/>
          <w:lang w:val="en-GB"/>
        </w:rPr>
        <w:t xml:space="preserve">1961 ECR 225; </w:t>
      </w:r>
      <w:r w:rsidRPr="00D73610">
        <w:rPr>
          <w:rFonts w:ascii="Times New Roman" w:hAnsi="Times New Roman"/>
          <w:i/>
          <w:iCs/>
          <w:lang w:val="en-GB"/>
        </w:rPr>
        <w:t>Antonissen</w:t>
      </w:r>
      <w:r w:rsidRPr="00D73610">
        <w:rPr>
          <w:rFonts w:ascii="Times New Roman" w:hAnsi="Times New Roman"/>
          <w:lang w:val="en-GB"/>
        </w:rPr>
        <w:t xml:space="preserve"> [1991]</w:t>
      </w:r>
      <w:r w:rsidRPr="00D73610">
        <w:rPr>
          <w:rFonts w:ascii="Times New Roman" w:hAnsi="Times New Roman"/>
          <w:iCs/>
          <w:lang w:val="en-GB"/>
        </w:rPr>
        <w:t xml:space="preserve">, </w:t>
      </w:r>
      <w:r>
        <w:rPr>
          <w:rFonts w:ascii="Times New Roman" w:hAnsi="Times New Roman"/>
          <w:iCs/>
          <w:lang w:val="en-GB"/>
        </w:rPr>
        <w:t>para.</w:t>
      </w:r>
      <w:r w:rsidRPr="00D73610">
        <w:rPr>
          <w:rFonts w:ascii="Times New Roman" w:hAnsi="Times New Roman"/>
          <w:iCs/>
          <w:lang w:val="en-GB"/>
        </w:rPr>
        <w:t xml:space="preserve"> 18. See also Joined Cases C-283/94, C-291/94 and C-292/94, </w:t>
      </w:r>
      <w:r w:rsidRPr="00D73610">
        <w:rPr>
          <w:rFonts w:ascii="Times New Roman" w:hAnsi="Times New Roman"/>
          <w:i/>
          <w:iCs/>
          <w:lang w:val="en-GB"/>
        </w:rPr>
        <w:t xml:space="preserve">Denkavit </w:t>
      </w:r>
      <w:r w:rsidRPr="00D73610">
        <w:rPr>
          <w:rFonts w:ascii="Times New Roman" w:hAnsi="Times New Roman"/>
          <w:iCs/>
          <w:lang w:val="en-GB"/>
        </w:rPr>
        <w:t>1996 ECR I-5063.</w:t>
      </w:r>
    </w:p>
  </w:footnote>
  <w:footnote w:id="81">
    <w:p w:rsidR="005E6612" w:rsidRDefault="005E6612" w:rsidP="0038632D">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bCs/>
          <w:lang w:val="en-GB"/>
        </w:rPr>
        <w:t xml:space="preserve">P. Dann, </w:t>
      </w:r>
      <w:r>
        <w:rPr>
          <w:rFonts w:ascii="Times New Roman" w:hAnsi="Times New Roman"/>
          <w:bCs/>
          <w:lang w:val="en-GB"/>
        </w:rPr>
        <w:t>‘</w:t>
      </w:r>
      <w:r w:rsidRPr="00D86CD5">
        <w:rPr>
          <w:rFonts w:ascii="Times New Roman" w:hAnsi="Times New Roman"/>
          <w:bCs/>
          <w:lang w:val="en-GB"/>
        </w:rPr>
        <w:t>Thoughts on a Methodology</w:t>
      </w:r>
      <w:r>
        <w:rPr>
          <w:rFonts w:ascii="Times New Roman" w:hAnsi="Times New Roman"/>
          <w:bCs/>
          <w:lang w:val="en-GB"/>
        </w:rPr>
        <w:t>’</w:t>
      </w:r>
      <w:r w:rsidRPr="00D73610">
        <w:rPr>
          <w:rFonts w:ascii="Times New Roman" w:hAnsi="Times New Roman"/>
          <w:bCs/>
          <w:lang w:val="en-GB"/>
        </w:rPr>
        <w:t xml:space="preserve">, </w:t>
      </w:r>
      <w:r>
        <w:rPr>
          <w:rFonts w:ascii="Times New Roman" w:hAnsi="Times New Roman"/>
          <w:bCs/>
          <w:lang w:val="en-GB"/>
        </w:rPr>
        <w:t xml:space="preserve">cit., </w:t>
      </w:r>
      <w:r w:rsidRPr="00D73610">
        <w:rPr>
          <w:rFonts w:ascii="Times New Roman" w:hAnsi="Times New Roman"/>
          <w:bCs/>
          <w:lang w:val="en-GB"/>
        </w:rPr>
        <w:t xml:space="preserve">1463, notes that </w:t>
      </w:r>
      <w:r>
        <w:rPr>
          <w:rFonts w:ascii="Times New Roman" w:hAnsi="Times New Roman"/>
          <w:bCs/>
          <w:lang w:val="en-GB"/>
        </w:rPr>
        <w:t>‘</w:t>
      </w:r>
      <w:r w:rsidRPr="00D73610">
        <w:rPr>
          <w:rFonts w:ascii="Times New Roman" w:hAnsi="Times New Roman"/>
          <w:bCs/>
          <w:lang w:val="en-GB"/>
        </w:rPr>
        <w:t xml:space="preserve">the </w:t>
      </w:r>
      <w:r w:rsidRPr="00D73610">
        <w:rPr>
          <w:rFonts w:ascii="Times New Roman" w:hAnsi="Times New Roman"/>
          <w:bCs/>
          <w:iCs/>
          <w:lang w:val="en-GB"/>
        </w:rPr>
        <w:t xml:space="preserve">widespread opinion that historical interpretation is impermissible in Union law owing to the lack of publication of the </w:t>
      </w:r>
      <w:r w:rsidRPr="00D73610">
        <w:rPr>
          <w:rFonts w:ascii="Times New Roman" w:hAnsi="Times New Roman"/>
          <w:bCs/>
          <w:i/>
          <w:iCs/>
          <w:lang w:val="en-GB"/>
        </w:rPr>
        <w:t>travaux pr</w:t>
      </w:r>
      <w:r>
        <w:rPr>
          <w:rFonts w:ascii="Times New Roman" w:hAnsi="Times New Roman"/>
          <w:bCs/>
          <w:i/>
          <w:iCs/>
          <w:lang w:val="en-GB"/>
        </w:rPr>
        <w:t>é</w:t>
      </w:r>
      <w:r w:rsidRPr="00D73610">
        <w:rPr>
          <w:rFonts w:ascii="Times New Roman" w:hAnsi="Times New Roman"/>
          <w:bCs/>
          <w:i/>
          <w:iCs/>
          <w:lang w:val="en-GB"/>
        </w:rPr>
        <w:t>paratoires</w:t>
      </w:r>
      <w:r w:rsidRPr="00D73610">
        <w:rPr>
          <w:rFonts w:ascii="Times New Roman" w:hAnsi="Times New Roman"/>
          <w:bCs/>
          <w:iCs/>
          <w:lang w:val="en-GB"/>
        </w:rPr>
        <w:t xml:space="preserve"> has become invalid since they began to be published</w:t>
      </w:r>
      <w:r>
        <w:rPr>
          <w:rFonts w:ascii="Times New Roman" w:hAnsi="Times New Roman"/>
          <w:bCs/>
          <w:iCs/>
          <w:lang w:val="en-GB"/>
        </w:rPr>
        <w:t>’</w:t>
      </w:r>
      <w:r w:rsidRPr="00D73610">
        <w:rPr>
          <w:rFonts w:ascii="Times New Roman" w:hAnsi="Times New Roman"/>
          <w:bCs/>
          <w:iCs/>
          <w:lang w:val="en-GB"/>
        </w:rPr>
        <w:t>.</w:t>
      </w:r>
    </w:p>
  </w:footnote>
  <w:footnote w:id="82">
    <w:p w:rsidR="005E6612" w:rsidRDefault="005E6612" w:rsidP="00B27D8E">
      <w:pPr>
        <w:pStyle w:val="Testonotaapidipagina"/>
        <w:jc w:val="both"/>
      </w:pPr>
      <w:r w:rsidRPr="00D73610">
        <w:rPr>
          <w:rStyle w:val="Rimandonotaapidipagina"/>
          <w:rFonts w:ascii="Times New Roman" w:hAnsi="Times New Roman"/>
          <w:lang w:val="en-GB"/>
        </w:rPr>
        <w:footnoteRef/>
      </w:r>
      <w:r w:rsidRPr="00B27D8E">
        <w:rPr>
          <w:rFonts w:ascii="Times New Roman" w:hAnsi="Times New Roman"/>
          <w:lang w:val="es-ES"/>
        </w:rPr>
        <w:t xml:space="preserve"> </w:t>
      </w:r>
      <w:r w:rsidRPr="00B27D8E">
        <w:rPr>
          <w:rFonts w:ascii="Times New Roman" w:hAnsi="Times New Roman"/>
          <w:i/>
          <w:lang w:val="es-ES"/>
        </w:rPr>
        <w:t>Grogan</w:t>
      </w:r>
      <w:r w:rsidRPr="00B27D8E">
        <w:rPr>
          <w:rFonts w:ascii="Times New Roman" w:hAnsi="Times New Roman"/>
          <w:lang w:val="es-ES"/>
        </w:rPr>
        <w:t xml:space="preserve"> [1991], para. 20.</w:t>
      </w:r>
    </w:p>
  </w:footnote>
  <w:footnote w:id="83">
    <w:p w:rsidR="005E6612" w:rsidRDefault="005E6612" w:rsidP="00B27D8E">
      <w:pPr>
        <w:pStyle w:val="Testonotaapidipagina"/>
        <w:jc w:val="both"/>
      </w:pPr>
      <w:r w:rsidRPr="00D73610">
        <w:rPr>
          <w:rStyle w:val="Rimandonotaapidipagina"/>
          <w:rFonts w:ascii="Times New Roman" w:hAnsi="Times New Roman"/>
          <w:lang w:val="en-GB"/>
        </w:rPr>
        <w:footnoteRef/>
      </w:r>
      <w:r w:rsidRPr="00CD0778">
        <w:rPr>
          <w:rFonts w:ascii="Times New Roman" w:hAnsi="Times New Roman"/>
          <w:lang w:val="es-ES"/>
        </w:rPr>
        <w:t xml:space="preserve"> </w:t>
      </w:r>
      <w:r w:rsidRPr="00CD0778">
        <w:rPr>
          <w:rFonts w:ascii="Times New Roman" w:hAnsi="Times New Roman"/>
          <w:i/>
          <w:iCs/>
          <w:lang w:val="es-ES"/>
        </w:rPr>
        <w:t xml:space="preserve">Defrenne II </w:t>
      </w:r>
      <w:r w:rsidRPr="00CD0778">
        <w:rPr>
          <w:rFonts w:ascii="Times New Roman" w:hAnsi="Times New Roman"/>
          <w:lang w:val="es-ES"/>
        </w:rPr>
        <w:t xml:space="preserve">[1976], para. </w:t>
      </w:r>
      <w:r w:rsidRPr="00B27D8E">
        <w:rPr>
          <w:rFonts w:ascii="Times New Roman" w:hAnsi="Times New Roman"/>
          <w:lang w:val="en-GB"/>
        </w:rPr>
        <w:t xml:space="preserve">71; </w:t>
      </w:r>
      <w:r w:rsidRPr="00B27D8E">
        <w:rPr>
          <w:rFonts w:ascii="Times New Roman" w:hAnsi="Times New Roman"/>
          <w:bCs/>
          <w:i/>
          <w:iCs/>
          <w:lang w:val="en-GB"/>
        </w:rPr>
        <w:t>Bosman</w:t>
      </w:r>
      <w:r w:rsidRPr="00B27D8E">
        <w:rPr>
          <w:rFonts w:ascii="Times New Roman" w:hAnsi="Times New Roman"/>
          <w:bCs/>
          <w:lang w:val="en-GB"/>
        </w:rPr>
        <w:t xml:space="preserve"> [1995], para. </w:t>
      </w:r>
      <w:r>
        <w:rPr>
          <w:rFonts w:ascii="Times New Roman" w:hAnsi="Times New Roman"/>
          <w:bCs/>
          <w:lang w:val="en-GB"/>
        </w:rPr>
        <w:t xml:space="preserve">77. </w:t>
      </w:r>
      <w:r w:rsidRPr="00D73610">
        <w:rPr>
          <w:rFonts w:ascii="Times New Roman" w:hAnsi="Times New Roman"/>
          <w:lang w:val="en-GB"/>
        </w:rPr>
        <w:t xml:space="preserve">Further references include Case C-69/80, </w:t>
      </w:r>
      <w:r w:rsidRPr="00D73610">
        <w:rPr>
          <w:rFonts w:ascii="Times New Roman" w:hAnsi="Times New Roman"/>
          <w:i/>
          <w:iCs/>
          <w:lang w:val="en-GB"/>
        </w:rPr>
        <w:t xml:space="preserve">Worringham </w:t>
      </w:r>
      <w:r w:rsidRPr="00D73610">
        <w:rPr>
          <w:rFonts w:ascii="Times New Roman" w:hAnsi="Times New Roman"/>
          <w:lang w:val="en-GB"/>
        </w:rPr>
        <w:t xml:space="preserve">[1981], ECR 767, </w:t>
      </w:r>
      <w:r>
        <w:rPr>
          <w:rFonts w:ascii="Times New Roman" w:hAnsi="Times New Roman"/>
          <w:lang w:val="en-GB"/>
        </w:rPr>
        <w:t>para.</w:t>
      </w:r>
      <w:r w:rsidRPr="00D73610">
        <w:rPr>
          <w:rFonts w:ascii="Times New Roman" w:hAnsi="Times New Roman"/>
          <w:lang w:val="en-GB"/>
        </w:rPr>
        <w:t xml:space="preserve"> 31; Case 24/86, </w:t>
      </w:r>
      <w:r w:rsidRPr="00D73610">
        <w:rPr>
          <w:rFonts w:ascii="Times New Roman" w:hAnsi="Times New Roman"/>
          <w:i/>
          <w:iCs/>
          <w:lang w:val="en-GB"/>
        </w:rPr>
        <w:t>Blaizot</w:t>
      </w:r>
      <w:r w:rsidRPr="00D73610">
        <w:rPr>
          <w:rFonts w:ascii="Times New Roman" w:hAnsi="Times New Roman"/>
          <w:lang w:val="en-GB"/>
        </w:rPr>
        <w:t xml:space="preserve"> [1988] ECR 379, </w:t>
      </w:r>
      <w:r>
        <w:rPr>
          <w:rFonts w:ascii="Times New Roman" w:hAnsi="Times New Roman"/>
          <w:lang w:val="en-GB"/>
        </w:rPr>
        <w:t>para.</w:t>
      </w:r>
      <w:r w:rsidRPr="00D73610">
        <w:rPr>
          <w:rFonts w:ascii="Times New Roman" w:hAnsi="Times New Roman"/>
          <w:lang w:val="en-GB"/>
        </w:rPr>
        <w:t xml:space="preserve"> 30; Case C-163/90, </w:t>
      </w:r>
      <w:r w:rsidRPr="00D73610">
        <w:rPr>
          <w:rFonts w:ascii="Times New Roman" w:hAnsi="Times New Roman"/>
          <w:i/>
          <w:iCs/>
          <w:lang w:val="en-GB"/>
        </w:rPr>
        <w:t xml:space="preserve">Legros </w:t>
      </w:r>
      <w:r w:rsidRPr="00D73610">
        <w:rPr>
          <w:rFonts w:ascii="Times New Roman" w:hAnsi="Times New Roman"/>
          <w:lang w:val="en-GB"/>
        </w:rPr>
        <w:t xml:space="preserve">[1992] ECR I-4625, </w:t>
      </w:r>
      <w:r>
        <w:rPr>
          <w:rFonts w:ascii="Times New Roman" w:hAnsi="Times New Roman"/>
          <w:lang w:val="en-GB"/>
        </w:rPr>
        <w:t>para.</w:t>
      </w:r>
      <w:r w:rsidRPr="00D73610">
        <w:rPr>
          <w:rFonts w:ascii="Times New Roman" w:hAnsi="Times New Roman"/>
          <w:lang w:val="en-GB"/>
        </w:rPr>
        <w:t xml:space="preserve"> 30; Case C-437/97, </w:t>
      </w:r>
      <w:r w:rsidRPr="00D73610">
        <w:rPr>
          <w:rFonts w:ascii="Times New Roman" w:hAnsi="Times New Roman"/>
          <w:i/>
          <w:iCs/>
          <w:lang w:val="en-GB"/>
        </w:rPr>
        <w:t>EKW</w:t>
      </w:r>
      <w:r w:rsidRPr="00D73610">
        <w:rPr>
          <w:rFonts w:ascii="Times New Roman" w:hAnsi="Times New Roman"/>
          <w:lang w:val="en-GB"/>
        </w:rPr>
        <w:t xml:space="preserve"> [2000] ECR I-1157, </w:t>
      </w:r>
      <w:r>
        <w:rPr>
          <w:rFonts w:ascii="Times New Roman" w:hAnsi="Times New Roman"/>
          <w:lang w:val="en-GB"/>
        </w:rPr>
        <w:t>para.</w:t>
      </w:r>
      <w:r w:rsidRPr="00D73610">
        <w:rPr>
          <w:rFonts w:ascii="Times New Roman" w:hAnsi="Times New Roman"/>
          <w:lang w:val="en-GB"/>
        </w:rPr>
        <w:t xml:space="preserve"> 57</w:t>
      </w:r>
      <w:r>
        <w:rPr>
          <w:rFonts w:ascii="Times New Roman" w:hAnsi="Times New Roman"/>
          <w:lang w:val="en-GB"/>
        </w:rPr>
        <w:t xml:space="preserve">; </w:t>
      </w:r>
      <w:r w:rsidRPr="00D73610">
        <w:rPr>
          <w:rFonts w:ascii="Times New Roman" w:hAnsi="Times New Roman"/>
          <w:lang w:val="en-GB"/>
        </w:rPr>
        <w:t>Joined cases C-177 and C-181/99</w:t>
      </w:r>
      <w:r w:rsidRPr="00D73610">
        <w:rPr>
          <w:rFonts w:ascii="Times New Roman" w:hAnsi="Times New Roman"/>
          <w:i/>
          <w:iCs/>
          <w:lang w:val="en-GB"/>
        </w:rPr>
        <w:t>, Ampafrance and Sanofi</w:t>
      </w:r>
      <w:r w:rsidRPr="00D73610">
        <w:rPr>
          <w:rFonts w:ascii="Times New Roman" w:hAnsi="Times New Roman"/>
          <w:lang w:val="en-GB"/>
        </w:rPr>
        <w:t xml:space="preserve"> [2000], ECR I-7013, </w:t>
      </w:r>
      <w:r>
        <w:rPr>
          <w:rFonts w:ascii="Times New Roman" w:hAnsi="Times New Roman"/>
          <w:lang w:val="en-GB"/>
        </w:rPr>
        <w:t>para.</w:t>
      </w:r>
      <w:r w:rsidRPr="00D73610">
        <w:rPr>
          <w:rFonts w:ascii="Times New Roman" w:hAnsi="Times New Roman"/>
          <w:lang w:val="en-GB"/>
        </w:rPr>
        <w:t xml:space="preserve"> </w:t>
      </w:r>
      <w:r w:rsidRPr="00C13CDF">
        <w:rPr>
          <w:rFonts w:ascii="Times New Roman" w:hAnsi="Times New Roman"/>
        </w:rPr>
        <w:t xml:space="preserve">66; Case C-228/05, </w:t>
      </w:r>
      <w:r w:rsidRPr="00C13CDF">
        <w:rPr>
          <w:rFonts w:ascii="Times New Roman" w:hAnsi="Times New Roman"/>
          <w:i/>
          <w:iCs/>
        </w:rPr>
        <w:t>Stradasfalti</w:t>
      </w:r>
      <w:r w:rsidRPr="00C13CDF">
        <w:rPr>
          <w:rFonts w:ascii="Times New Roman" w:hAnsi="Times New Roman"/>
        </w:rPr>
        <w:t xml:space="preserve"> [2006], ECR I</w:t>
      </w:r>
      <w:r w:rsidRPr="00C13CDF">
        <w:rPr>
          <w:rFonts w:ascii="Times New Roman" w:hAnsi="Times New Roman"/>
          <w:i/>
          <w:iCs/>
        </w:rPr>
        <w:t>-</w:t>
      </w:r>
      <w:r w:rsidRPr="00C13CDF">
        <w:rPr>
          <w:rFonts w:ascii="Times New Roman" w:hAnsi="Times New Roman"/>
        </w:rPr>
        <w:t>8391, para. 72.</w:t>
      </w:r>
    </w:p>
  </w:footnote>
  <w:footnote w:id="84">
    <w:p w:rsidR="005E6612" w:rsidRDefault="005E6612" w:rsidP="00B27D8E">
      <w:pPr>
        <w:pStyle w:val="Testonotaapidipagina"/>
        <w:jc w:val="both"/>
      </w:pPr>
      <w:r w:rsidRPr="00D73610">
        <w:rPr>
          <w:rStyle w:val="Rimandonotaapidipagina"/>
          <w:rFonts w:ascii="Times New Roman" w:hAnsi="Times New Roman"/>
          <w:lang w:val="en-GB"/>
        </w:rPr>
        <w:footnoteRef/>
      </w:r>
      <w:r w:rsidRPr="00C13CDF">
        <w:rPr>
          <w:rFonts w:ascii="Times New Roman" w:hAnsi="Times New Roman"/>
        </w:rPr>
        <w:t xml:space="preserve"> Case C</w:t>
      </w:r>
      <w:r w:rsidRPr="00C13CDF">
        <w:rPr>
          <w:rFonts w:ascii="Times New Roman" w:hAnsi="Times New Roman"/>
        </w:rPr>
        <w:noBreakHyphen/>
        <w:t xml:space="preserve">506/06, </w:t>
      </w:r>
      <w:r w:rsidRPr="00C13CDF">
        <w:rPr>
          <w:rFonts w:ascii="Times New Roman" w:hAnsi="Times New Roman"/>
          <w:i/>
          <w:iCs/>
        </w:rPr>
        <w:t xml:space="preserve">Mayr </w:t>
      </w:r>
      <w:r w:rsidRPr="00C13CDF">
        <w:rPr>
          <w:rFonts w:ascii="Times New Roman" w:hAnsi="Times New Roman"/>
        </w:rPr>
        <w:t xml:space="preserve">[2008], ECR I-1017, para. </w:t>
      </w:r>
      <w:r w:rsidRPr="00D73610">
        <w:rPr>
          <w:rFonts w:ascii="Times New Roman" w:hAnsi="Times New Roman"/>
          <w:lang w:val="en-GB"/>
        </w:rPr>
        <w:t xml:space="preserve">38; Case C-34/10, </w:t>
      </w:r>
      <w:r w:rsidRPr="00D73610">
        <w:rPr>
          <w:rFonts w:ascii="Times New Roman" w:hAnsi="Times New Roman"/>
          <w:i/>
          <w:iCs/>
          <w:lang w:val="en-GB"/>
        </w:rPr>
        <w:t>Brüstle v Greenpeace</w:t>
      </w:r>
      <w:r w:rsidRPr="00D73610">
        <w:rPr>
          <w:rFonts w:ascii="Times New Roman" w:hAnsi="Times New Roman"/>
          <w:lang w:val="en-GB"/>
        </w:rPr>
        <w:t xml:space="preserve"> [2011], </w:t>
      </w:r>
      <w:r>
        <w:rPr>
          <w:rFonts w:ascii="Times New Roman" w:hAnsi="Times New Roman"/>
          <w:lang w:val="en-GB"/>
        </w:rPr>
        <w:t xml:space="preserve">ECR </w:t>
      </w:r>
      <w:r w:rsidRPr="009E3701">
        <w:rPr>
          <w:rFonts w:ascii="Times New Roman" w:hAnsi="Times New Roman"/>
        </w:rPr>
        <w:t>I-9821</w:t>
      </w:r>
      <w:r w:rsidRPr="00D73610">
        <w:rPr>
          <w:rFonts w:ascii="Times New Roman" w:hAnsi="Times New Roman"/>
          <w:lang w:val="en-GB"/>
        </w:rPr>
        <w:t xml:space="preserve">, </w:t>
      </w:r>
      <w:r>
        <w:rPr>
          <w:rFonts w:ascii="Times New Roman" w:hAnsi="Times New Roman"/>
          <w:lang w:val="en-GB"/>
        </w:rPr>
        <w:t>para.</w:t>
      </w:r>
      <w:r w:rsidRPr="00D73610">
        <w:rPr>
          <w:rFonts w:ascii="Times New Roman" w:hAnsi="Times New Roman"/>
          <w:lang w:val="en-GB"/>
        </w:rPr>
        <w:t xml:space="preserve"> 30</w:t>
      </w:r>
      <w:r>
        <w:rPr>
          <w:rFonts w:ascii="Times New Roman" w:hAnsi="Times New Roman"/>
          <w:lang w:val="en-GB"/>
        </w:rPr>
        <w:t xml:space="preserve">. See also </w:t>
      </w:r>
      <w:r w:rsidRPr="00D73610">
        <w:rPr>
          <w:rFonts w:ascii="Times New Roman" w:hAnsi="Times New Roman"/>
          <w:lang w:val="en-GB"/>
        </w:rPr>
        <w:t xml:space="preserve">Case C-1/96, </w:t>
      </w:r>
      <w:r w:rsidRPr="00D73610">
        <w:rPr>
          <w:rFonts w:ascii="Times New Roman" w:hAnsi="Times New Roman"/>
          <w:i/>
          <w:iCs/>
          <w:lang w:val="en-GB"/>
        </w:rPr>
        <w:t>Compassion in World Farming</w:t>
      </w:r>
      <w:r w:rsidRPr="00D73610">
        <w:rPr>
          <w:rFonts w:ascii="Times New Roman" w:hAnsi="Times New Roman"/>
          <w:lang w:val="en-GB"/>
        </w:rPr>
        <w:t xml:space="preserve"> [1998] ECR I-1251, </w:t>
      </w:r>
      <w:r>
        <w:rPr>
          <w:rFonts w:ascii="Times New Roman" w:hAnsi="Times New Roman"/>
          <w:lang w:val="en-GB"/>
        </w:rPr>
        <w:t>para.</w:t>
      </w:r>
      <w:r w:rsidRPr="00D73610">
        <w:rPr>
          <w:rFonts w:ascii="Times New Roman" w:hAnsi="Times New Roman"/>
          <w:lang w:val="en-GB"/>
        </w:rPr>
        <w:t xml:space="preserve"> 67</w:t>
      </w:r>
      <w:r>
        <w:rPr>
          <w:rFonts w:ascii="Times New Roman" w:hAnsi="Times New Roman"/>
          <w:lang w:val="en-GB"/>
        </w:rPr>
        <w:t>.</w:t>
      </w:r>
    </w:p>
  </w:footnote>
  <w:footnote w:id="85">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bCs/>
          <w:i/>
          <w:iCs/>
          <w:lang w:val="en-GB"/>
        </w:rPr>
        <w:t>Barber</w:t>
      </w:r>
      <w:r w:rsidRPr="00D73610">
        <w:rPr>
          <w:rFonts w:ascii="Times New Roman" w:hAnsi="Times New Roman"/>
          <w:bCs/>
          <w:lang w:val="en-GB"/>
        </w:rPr>
        <w:t xml:space="preserve"> [1990], </w:t>
      </w:r>
      <w:r>
        <w:rPr>
          <w:rFonts w:ascii="Times New Roman" w:hAnsi="Times New Roman"/>
          <w:bCs/>
          <w:lang w:val="en-GB"/>
        </w:rPr>
        <w:t>para.</w:t>
      </w:r>
      <w:r w:rsidRPr="00D73610">
        <w:rPr>
          <w:rFonts w:ascii="Times New Roman" w:hAnsi="Times New Roman"/>
          <w:bCs/>
          <w:lang w:val="en-GB"/>
        </w:rPr>
        <w:t xml:space="preserve"> </w:t>
      </w:r>
      <w:r w:rsidRPr="00D73610">
        <w:rPr>
          <w:rFonts w:ascii="Times New Roman" w:hAnsi="Times New Roman"/>
          <w:iCs/>
          <w:lang w:val="en-GB"/>
        </w:rPr>
        <w:t xml:space="preserve">41. Analogous expressions in </w:t>
      </w:r>
      <w:r w:rsidRPr="00D73610">
        <w:rPr>
          <w:rFonts w:ascii="Times New Roman" w:hAnsi="Times New Roman"/>
          <w:i/>
          <w:iCs/>
          <w:lang w:val="en-GB"/>
        </w:rPr>
        <w:t>Defrenne II</w:t>
      </w:r>
      <w:r w:rsidRPr="00D73610">
        <w:rPr>
          <w:rFonts w:ascii="Times New Roman" w:hAnsi="Times New Roman"/>
          <w:lang w:val="en-GB"/>
        </w:rPr>
        <w:t xml:space="preserve"> [1976], </w:t>
      </w:r>
      <w:r>
        <w:rPr>
          <w:rFonts w:ascii="Times New Roman" w:hAnsi="Times New Roman"/>
          <w:lang w:val="en-GB"/>
        </w:rPr>
        <w:t>para.</w:t>
      </w:r>
      <w:r w:rsidRPr="00D73610">
        <w:rPr>
          <w:rFonts w:ascii="Times New Roman" w:hAnsi="Times New Roman"/>
          <w:lang w:val="en-GB"/>
        </w:rPr>
        <w:t xml:space="preserve"> 72; </w:t>
      </w:r>
      <w:r w:rsidRPr="00D73610">
        <w:rPr>
          <w:rFonts w:ascii="Times New Roman" w:hAnsi="Times New Roman"/>
          <w:bCs/>
          <w:i/>
          <w:iCs/>
          <w:lang w:val="en-GB"/>
        </w:rPr>
        <w:t>Bosman</w:t>
      </w:r>
      <w:r w:rsidRPr="00D73610">
        <w:rPr>
          <w:rFonts w:ascii="Times New Roman" w:hAnsi="Times New Roman"/>
          <w:bCs/>
          <w:lang w:val="en-GB"/>
        </w:rPr>
        <w:t xml:space="preserve"> [1995], </w:t>
      </w:r>
      <w:r>
        <w:rPr>
          <w:rFonts w:ascii="Times New Roman" w:hAnsi="Times New Roman"/>
          <w:bCs/>
          <w:lang w:val="en-GB"/>
        </w:rPr>
        <w:t>para.</w:t>
      </w:r>
      <w:r w:rsidRPr="00D73610">
        <w:rPr>
          <w:rFonts w:ascii="Times New Roman" w:hAnsi="Times New Roman"/>
          <w:bCs/>
          <w:lang w:val="en-GB"/>
        </w:rPr>
        <w:t xml:space="preserve"> 142</w:t>
      </w:r>
      <w:r w:rsidRPr="00D73610">
        <w:rPr>
          <w:rFonts w:ascii="Times New Roman" w:hAnsi="Times New Roman"/>
          <w:iCs/>
          <w:lang w:val="en-GB"/>
        </w:rPr>
        <w:t>.</w:t>
      </w:r>
    </w:p>
  </w:footnote>
  <w:footnote w:id="86">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Pr>
          <w:rFonts w:ascii="Times New Roman" w:hAnsi="Times New Roman"/>
          <w:lang w:val="en-GB"/>
        </w:rPr>
        <w:t xml:space="preserve">This is the view expressed by </w:t>
      </w:r>
      <w:r w:rsidRPr="00D73610">
        <w:rPr>
          <w:rFonts w:ascii="Times New Roman" w:hAnsi="Times New Roman"/>
          <w:lang w:val="en-GB"/>
        </w:rPr>
        <w:t xml:space="preserve">T.C. Hartley, </w:t>
      </w:r>
      <w:r w:rsidRPr="00D73610">
        <w:rPr>
          <w:rFonts w:ascii="Times New Roman" w:hAnsi="Times New Roman"/>
          <w:i/>
          <w:iCs/>
          <w:lang w:val="en-GB"/>
        </w:rPr>
        <w:t>Constitutional Problems of the European Union</w:t>
      </w:r>
      <w:r>
        <w:rPr>
          <w:rFonts w:ascii="Times New Roman" w:hAnsi="Times New Roman"/>
          <w:lang w:val="en-GB"/>
        </w:rPr>
        <w:t xml:space="preserve"> (</w:t>
      </w:r>
      <w:r w:rsidRPr="00D73610">
        <w:rPr>
          <w:rFonts w:ascii="Times New Roman" w:hAnsi="Times New Roman"/>
          <w:lang w:val="en-GB"/>
        </w:rPr>
        <w:t>Oxford and Portland</w:t>
      </w:r>
      <w:r>
        <w:rPr>
          <w:rFonts w:ascii="Times New Roman" w:hAnsi="Times New Roman"/>
          <w:lang w:val="en-GB"/>
        </w:rPr>
        <w:t xml:space="preserve">: </w:t>
      </w:r>
      <w:r w:rsidRPr="00D73610">
        <w:rPr>
          <w:rFonts w:ascii="Times New Roman" w:hAnsi="Times New Roman"/>
          <w:lang w:val="en-GB"/>
        </w:rPr>
        <w:t>Hart, 1999</w:t>
      </w:r>
      <w:r>
        <w:rPr>
          <w:rFonts w:ascii="Times New Roman" w:hAnsi="Times New Roman"/>
          <w:lang w:val="en-GB"/>
        </w:rPr>
        <w:t>)</w:t>
      </w:r>
      <w:r w:rsidRPr="00D73610">
        <w:rPr>
          <w:rFonts w:ascii="Times New Roman" w:hAnsi="Times New Roman"/>
          <w:lang w:val="en-GB"/>
        </w:rPr>
        <w:t xml:space="preserve">, </w:t>
      </w:r>
      <w:r>
        <w:rPr>
          <w:rFonts w:ascii="Times New Roman" w:hAnsi="Times New Roman"/>
          <w:lang w:val="en-GB"/>
        </w:rPr>
        <w:t xml:space="preserve">at </w:t>
      </w:r>
      <w:r w:rsidRPr="00D73610">
        <w:rPr>
          <w:rFonts w:ascii="Times New Roman" w:hAnsi="Times New Roman"/>
          <w:lang w:val="en-GB"/>
        </w:rPr>
        <w:t xml:space="preserve">41-42, </w:t>
      </w:r>
      <w:r>
        <w:rPr>
          <w:rFonts w:ascii="Times New Roman" w:hAnsi="Times New Roman"/>
          <w:lang w:val="en-GB"/>
        </w:rPr>
        <w:t xml:space="preserve">commenting </w:t>
      </w:r>
      <w:r w:rsidRPr="00D73610">
        <w:rPr>
          <w:rFonts w:ascii="Times New Roman" w:hAnsi="Times New Roman"/>
          <w:i/>
          <w:iCs/>
          <w:lang w:val="en-GB"/>
        </w:rPr>
        <w:t>Defrenne II</w:t>
      </w:r>
      <w:r w:rsidRPr="00D73610">
        <w:rPr>
          <w:rFonts w:ascii="Times New Roman" w:hAnsi="Times New Roman"/>
          <w:lang w:val="en-GB"/>
        </w:rPr>
        <w:t>.</w:t>
      </w:r>
    </w:p>
  </w:footnote>
  <w:footnote w:id="87">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i/>
          <w:iCs/>
          <w:lang w:val="en-GB"/>
        </w:rPr>
        <w:t>Defrenne II</w:t>
      </w:r>
      <w:r w:rsidRPr="00D73610">
        <w:rPr>
          <w:rFonts w:ascii="Times New Roman" w:hAnsi="Times New Roman"/>
          <w:lang w:val="en-GB"/>
        </w:rPr>
        <w:t xml:space="preserve"> [1976], </w:t>
      </w:r>
      <w:r>
        <w:rPr>
          <w:rFonts w:ascii="Times New Roman" w:hAnsi="Times New Roman"/>
          <w:lang w:val="en-GB"/>
        </w:rPr>
        <w:t>para.</w:t>
      </w:r>
      <w:r w:rsidRPr="00D73610">
        <w:rPr>
          <w:rFonts w:ascii="Times New Roman" w:hAnsi="Times New Roman"/>
          <w:lang w:val="en-GB"/>
        </w:rPr>
        <w:t xml:space="preserve"> 74. See analogously </w:t>
      </w:r>
      <w:r w:rsidRPr="00D73610">
        <w:rPr>
          <w:rFonts w:ascii="Times New Roman" w:hAnsi="Times New Roman"/>
          <w:bCs/>
          <w:i/>
          <w:iCs/>
          <w:lang w:val="en-GB"/>
        </w:rPr>
        <w:t>Barber</w:t>
      </w:r>
      <w:r w:rsidRPr="00D73610">
        <w:rPr>
          <w:rFonts w:ascii="Times New Roman" w:hAnsi="Times New Roman"/>
          <w:bCs/>
          <w:lang w:val="en-GB"/>
        </w:rPr>
        <w:t xml:space="preserve"> [1990], </w:t>
      </w:r>
      <w:r>
        <w:rPr>
          <w:rFonts w:ascii="Times New Roman" w:hAnsi="Times New Roman"/>
          <w:bCs/>
          <w:lang w:val="en-GB"/>
        </w:rPr>
        <w:t>para.</w:t>
      </w:r>
      <w:r w:rsidRPr="00D73610">
        <w:rPr>
          <w:rFonts w:ascii="Times New Roman" w:hAnsi="Times New Roman"/>
          <w:bCs/>
          <w:lang w:val="en-GB"/>
        </w:rPr>
        <w:t xml:space="preserve"> </w:t>
      </w:r>
      <w:r w:rsidRPr="00D73610">
        <w:rPr>
          <w:rFonts w:ascii="Times New Roman" w:hAnsi="Times New Roman"/>
          <w:iCs/>
          <w:lang w:val="en-GB"/>
        </w:rPr>
        <w:t xml:space="preserve">44, and </w:t>
      </w:r>
      <w:r w:rsidRPr="00D73610">
        <w:rPr>
          <w:rFonts w:ascii="Times New Roman" w:hAnsi="Times New Roman"/>
          <w:i/>
          <w:lang w:val="en-GB"/>
        </w:rPr>
        <w:t>Bosman</w:t>
      </w:r>
      <w:r w:rsidRPr="00D73610">
        <w:rPr>
          <w:rFonts w:ascii="Times New Roman" w:hAnsi="Times New Roman"/>
          <w:iCs/>
          <w:lang w:val="en-GB"/>
        </w:rPr>
        <w:t xml:space="preserve"> [1995], </w:t>
      </w:r>
      <w:r>
        <w:rPr>
          <w:rFonts w:ascii="Times New Roman" w:hAnsi="Times New Roman"/>
          <w:iCs/>
          <w:lang w:val="en-GB"/>
        </w:rPr>
        <w:t>para.</w:t>
      </w:r>
      <w:r w:rsidRPr="00D73610">
        <w:rPr>
          <w:rFonts w:ascii="Times New Roman" w:hAnsi="Times New Roman"/>
          <w:iCs/>
          <w:lang w:val="en-GB"/>
        </w:rPr>
        <w:t xml:space="preserve"> 144 (</w:t>
      </w:r>
      <w:r>
        <w:rPr>
          <w:rFonts w:ascii="Times New Roman" w:hAnsi="Times New Roman"/>
          <w:iCs/>
          <w:lang w:val="en-GB"/>
        </w:rPr>
        <w:t>‘</w:t>
      </w:r>
      <w:r w:rsidRPr="00D73610">
        <w:rPr>
          <w:rFonts w:ascii="Times New Roman" w:hAnsi="Times New Roman"/>
          <w:iCs/>
          <w:lang w:val="en-GB"/>
        </w:rPr>
        <w:t>overriding considerations of legal certainty</w:t>
      </w:r>
      <w:r>
        <w:rPr>
          <w:rFonts w:ascii="Times New Roman" w:hAnsi="Times New Roman"/>
          <w:iCs/>
          <w:lang w:val="en-GB"/>
        </w:rPr>
        <w:t>’</w:t>
      </w:r>
      <w:r w:rsidRPr="00D73610">
        <w:rPr>
          <w:rFonts w:ascii="Times New Roman" w:hAnsi="Times New Roman"/>
          <w:iCs/>
          <w:lang w:val="en-GB"/>
        </w:rPr>
        <w:t>).</w:t>
      </w:r>
    </w:p>
  </w:footnote>
  <w:footnote w:id="88">
    <w:p w:rsidR="005E6612" w:rsidRDefault="005E6612" w:rsidP="006A128A">
      <w:pPr>
        <w:pStyle w:val="Testonotaapidipagina"/>
        <w:jc w:val="both"/>
      </w:pPr>
      <w:r w:rsidRPr="006A128A">
        <w:rPr>
          <w:rStyle w:val="Rimandonotaapidipagina"/>
          <w:rFonts w:ascii="Times New Roman" w:hAnsi="Times New Roman"/>
          <w:lang w:val="en-GB"/>
        </w:rPr>
        <w:footnoteRef/>
      </w:r>
      <w:r w:rsidRPr="006A128A">
        <w:rPr>
          <w:rFonts w:ascii="Times New Roman" w:hAnsi="Times New Roman"/>
          <w:lang w:val="en-GB"/>
        </w:rPr>
        <w:t xml:space="preserve"> </w:t>
      </w:r>
      <w:r w:rsidRPr="006A128A">
        <w:rPr>
          <w:rFonts w:ascii="Times New Roman" w:hAnsi="Times New Roman"/>
          <w:i/>
          <w:iCs/>
          <w:lang w:val="en-GB"/>
        </w:rPr>
        <w:t xml:space="preserve">Faccini Dori </w:t>
      </w:r>
      <w:r w:rsidRPr="006A128A">
        <w:rPr>
          <w:rFonts w:ascii="Times New Roman" w:hAnsi="Times New Roman"/>
          <w:lang w:val="en-GB"/>
        </w:rPr>
        <w:t>[1994], para. 23.</w:t>
      </w:r>
    </w:p>
  </w:footnote>
  <w:footnote w:id="89">
    <w:p w:rsidR="005E6612" w:rsidRDefault="005E6612" w:rsidP="006A128A">
      <w:pPr>
        <w:pStyle w:val="Testonotaapidipagina"/>
        <w:jc w:val="both"/>
      </w:pPr>
      <w:r w:rsidRPr="006A128A">
        <w:rPr>
          <w:rStyle w:val="Rimandonotaapidipagina"/>
          <w:rFonts w:ascii="Times New Roman" w:hAnsi="Times New Roman"/>
          <w:lang w:val="en-GB"/>
        </w:rPr>
        <w:footnoteRef/>
      </w:r>
      <w:r w:rsidRPr="006A128A">
        <w:rPr>
          <w:rFonts w:ascii="Times New Roman" w:hAnsi="Times New Roman"/>
          <w:lang w:val="en-GB"/>
        </w:rPr>
        <w:t xml:space="preserve"> </w:t>
      </w:r>
      <w:r w:rsidRPr="006A128A">
        <w:rPr>
          <w:rFonts w:ascii="Times New Roman" w:hAnsi="Times New Roman"/>
          <w:bCs/>
          <w:i/>
          <w:lang w:val="en-GB"/>
        </w:rPr>
        <w:t>Internationale Handelsgesellschaft</w:t>
      </w:r>
      <w:r w:rsidRPr="006A128A">
        <w:rPr>
          <w:rFonts w:ascii="Times New Roman" w:hAnsi="Times New Roman"/>
          <w:bCs/>
          <w:lang w:val="en-GB"/>
        </w:rPr>
        <w:t xml:space="preserve"> [1970], para. 4.</w:t>
      </w:r>
    </w:p>
  </w:footnote>
  <w:footnote w:id="90">
    <w:p w:rsidR="005E6612" w:rsidRDefault="005E6612" w:rsidP="006A128A">
      <w:pPr>
        <w:spacing w:after="0" w:line="240" w:lineRule="auto"/>
        <w:jc w:val="both"/>
      </w:pPr>
      <w:r w:rsidRPr="006A128A">
        <w:rPr>
          <w:rStyle w:val="Rimandonotaapidipagina"/>
          <w:rFonts w:ascii="Times New Roman" w:hAnsi="Times New Roman"/>
          <w:sz w:val="20"/>
          <w:szCs w:val="20"/>
          <w:lang w:val="en-GB"/>
        </w:rPr>
        <w:footnoteRef/>
      </w:r>
      <w:r w:rsidRPr="006A128A">
        <w:rPr>
          <w:rFonts w:ascii="Times New Roman" w:hAnsi="Times New Roman"/>
          <w:sz w:val="20"/>
          <w:szCs w:val="20"/>
          <w:lang w:val="en-GB"/>
        </w:rPr>
        <w:t xml:space="preserve"> </w:t>
      </w:r>
      <w:r w:rsidRPr="006A128A">
        <w:rPr>
          <w:rFonts w:ascii="Times New Roman" w:hAnsi="Times New Roman"/>
          <w:i/>
          <w:sz w:val="20"/>
          <w:szCs w:val="20"/>
          <w:lang w:val="en-GB"/>
        </w:rPr>
        <w:t>Hauer</w:t>
      </w:r>
      <w:r w:rsidRPr="006A128A">
        <w:rPr>
          <w:rFonts w:ascii="Times New Roman" w:hAnsi="Times New Roman"/>
          <w:sz w:val="20"/>
          <w:szCs w:val="20"/>
          <w:lang w:val="en-GB"/>
        </w:rPr>
        <w:t xml:space="preserve"> [1979], para. 20. With regard to the right to property, see also </w:t>
      </w:r>
      <w:r w:rsidRPr="006A128A">
        <w:rPr>
          <w:rFonts w:ascii="Times New Roman" w:hAnsi="Times New Roman"/>
          <w:i/>
          <w:sz w:val="20"/>
          <w:szCs w:val="20"/>
          <w:lang w:val="en-GB"/>
        </w:rPr>
        <w:t xml:space="preserve">Wachauf </w:t>
      </w:r>
      <w:r w:rsidRPr="006A128A">
        <w:rPr>
          <w:rFonts w:ascii="Times New Roman" w:hAnsi="Times New Roman"/>
          <w:sz w:val="20"/>
          <w:szCs w:val="20"/>
          <w:lang w:val="en-GB"/>
        </w:rPr>
        <w:t xml:space="preserve">[1989], para. </w:t>
      </w:r>
      <w:r w:rsidRPr="006A128A">
        <w:rPr>
          <w:rFonts w:ascii="Times New Roman" w:hAnsi="Times New Roman"/>
          <w:sz w:val="20"/>
          <w:szCs w:val="20"/>
          <w:lang w:val="es-ES"/>
        </w:rPr>
        <w:t>17-18.</w:t>
      </w:r>
    </w:p>
  </w:footnote>
  <w:footnote w:id="91">
    <w:p w:rsidR="005E6612" w:rsidRDefault="005E6612" w:rsidP="006A128A">
      <w:pPr>
        <w:pStyle w:val="Testonotaapidipagina"/>
        <w:jc w:val="both"/>
      </w:pPr>
      <w:r w:rsidRPr="006A128A">
        <w:rPr>
          <w:rStyle w:val="Rimandonotaapidipagina"/>
          <w:rFonts w:ascii="Times New Roman" w:hAnsi="Times New Roman"/>
          <w:lang w:val="en-GB"/>
        </w:rPr>
        <w:footnoteRef/>
      </w:r>
      <w:r w:rsidRPr="006A128A">
        <w:rPr>
          <w:rFonts w:ascii="Times New Roman" w:hAnsi="Times New Roman"/>
          <w:lang w:val="es-ES"/>
        </w:rPr>
        <w:t xml:space="preserve"> </w:t>
      </w:r>
      <w:r w:rsidRPr="006A128A">
        <w:rPr>
          <w:rFonts w:ascii="Times New Roman" w:hAnsi="Times New Roman"/>
          <w:bCs/>
          <w:i/>
          <w:lang w:val="es-ES"/>
        </w:rPr>
        <w:t>ERT</w:t>
      </w:r>
      <w:r w:rsidRPr="006A128A">
        <w:rPr>
          <w:rFonts w:ascii="Times New Roman" w:hAnsi="Times New Roman"/>
          <w:bCs/>
          <w:lang w:val="es-ES"/>
        </w:rPr>
        <w:t> [1991], para. 41</w:t>
      </w:r>
      <w:r w:rsidRPr="006A128A">
        <w:rPr>
          <w:rFonts w:ascii="Times New Roman" w:hAnsi="Times New Roman"/>
          <w:lang w:val="es-ES"/>
        </w:rPr>
        <w:t xml:space="preserve">; </w:t>
      </w:r>
      <w:r w:rsidRPr="006A128A">
        <w:rPr>
          <w:rFonts w:ascii="Times New Roman" w:hAnsi="Times New Roman"/>
          <w:i/>
          <w:lang w:val="es-ES"/>
        </w:rPr>
        <w:t xml:space="preserve">Schmidberger </w:t>
      </w:r>
      <w:r w:rsidRPr="006A128A">
        <w:rPr>
          <w:rFonts w:ascii="Times New Roman" w:hAnsi="Times New Roman"/>
          <w:lang w:val="es-ES"/>
        </w:rPr>
        <w:t>[2003] para. 71.</w:t>
      </w:r>
    </w:p>
  </w:footnote>
  <w:footnote w:id="92">
    <w:p w:rsidR="005E6612" w:rsidRDefault="005E6612" w:rsidP="006A128A">
      <w:pPr>
        <w:pStyle w:val="Testonotaapidipagina"/>
        <w:jc w:val="both"/>
      </w:pPr>
      <w:r w:rsidRPr="006A128A">
        <w:rPr>
          <w:rStyle w:val="Rimandonotaapidipagina"/>
          <w:rFonts w:ascii="Times New Roman" w:hAnsi="Times New Roman"/>
        </w:rPr>
        <w:footnoteRef/>
      </w:r>
      <w:r w:rsidRPr="006A128A">
        <w:rPr>
          <w:rFonts w:ascii="Times New Roman" w:hAnsi="Times New Roman"/>
          <w:lang w:val="es-ES"/>
        </w:rPr>
        <w:t xml:space="preserve"> </w:t>
      </w:r>
      <w:r w:rsidRPr="006A128A">
        <w:rPr>
          <w:rFonts w:ascii="Times New Roman" w:hAnsi="Times New Roman"/>
          <w:i/>
          <w:lang w:val="es-ES"/>
        </w:rPr>
        <w:t xml:space="preserve">Schmidberger </w:t>
      </w:r>
      <w:r w:rsidRPr="006A128A">
        <w:rPr>
          <w:rFonts w:ascii="Times New Roman" w:hAnsi="Times New Roman"/>
          <w:lang w:val="es-ES"/>
        </w:rPr>
        <w:t>[2003] para. 71.</w:t>
      </w:r>
    </w:p>
  </w:footnote>
  <w:footnote w:id="93">
    <w:p w:rsidR="005E6612" w:rsidRDefault="005E6612" w:rsidP="006A128A">
      <w:pPr>
        <w:pStyle w:val="Testonotaapidipagina"/>
        <w:jc w:val="both"/>
      </w:pPr>
      <w:r w:rsidRPr="006A128A">
        <w:rPr>
          <w:rStyle w:val="Rimandonotaapidipagina"/>
          <w:rFonts w:ascii="Times New Roman" w:hAnsi="Times New Roman"/>
        </w:rPr>
        <w:footnoteRef/>
      </w:r>
      <w:r w:rsidRPr="006A128A">
        <w:rPr>
          <w:rFonts w:ascii="Times New Roman" w:hAnsi="Times New Roman"/>
          <w:lang w:val="es-ES"/>
        </w:rPr>
        <w:t xml:space="preserve"> </w:t>
      </w:r>
      <w:r w:rsidRPr="006A128A">
        <w:rPr>
          <w:rFonts w:ascii="Times New Roman" w:hAnsi="Times New Roman"/>
          <w:i/>
          <w:lang w:val="es-ES"/>
        </w:rPr>
        <w:t>Omega</w:t>
      </w:r>
      <w:r w:rsidRPr="006A128A">
        <w:rPr>
          <w:rFonts w:ascii="Times New Roman" w:hAnsi="Times New Roman"/>
          <w:lang w:val="es-ES"/>
        </w:rPr>
        <w:t xml:space="preserve"> [2004], para. 33-34.</w:t>
      </w:r>
    </w:p>
  </w:footnote>
  <w:footnote w:id="94">
    <w:p w:rsidR="005E6612" w:rsidRDefault="005E6612" w:rsidP="006A128A">
      <w:pPr>
        <w:pStyle w:val="Testonotaapidipagina"/>
        <w:jc w:val="both"/>
      </w:pPr>
      <w:r w:rsidRPr="006A128A">
        <w:rPr>
          <w:rStyle w:val="Rimandonotaapidipagina"/>
          <w:rFonts w:ascii="Times New Roman" w:hAnsi="Times New Roman"/>
          <w:lang w:val="en-GB"/>
        </w:rPr>
        <w:footnoteRef/>
      </w:r>
      <w:r w:rsidRPr="006A128A">
        <w:rPr>
          <w:rFonts w:ascii="Times New Roman" w:hAnsi="Times New Roman"/>
          <w:lang w:val="es-ES"/>
        </w:rPr>
        <w:t xml:space="preserve"> </w:t>
      </w:r>
      <w:r w:rsidRPr="006A128A">
        <w:rPr>
          <w:rFonts w:ascii="Times New Roman" w:hAnsi="Times New Roman"/>
          <w:i/>
          <w:iCs/>
          <w:lang w:val="es-ES"/>
        </w:rPr>
        <w:t xml:space="preserve">Brasserie du Pêcheur </w:t>
      </w:r>
      <w:r w:rsidRPr="006A128A">
        <w:rPr>
          <w:rFonts w:ascii="Times New Roman" w:hAnsi="Times New Roman"/>
          <w:lang w:val="es-ES"/>
        </w:rPr>
        <w:t xml:space="preserve">[1996], para. 27-32; </w:t>
      </w:r>
      <w:r w:rsidRPr="006A128A">
        <w:rPr>
          <w:rFonts w:ascii="Times New Roman" w:hAnsi="Times New Roman"/>
          <w:i/>
          <w:iCs/>
          <w:lang w:val="es-ES"/>
        </w:rPr>
        <w:t xml:space="preserve">Köbler </w:t>
      </w:r>
      <w:r w:rsidRPr="006A128A">
        <w:rPr>
          <w:rFonts w:ascii="Times New Roman" w:hAnsi="Times New Roman"/>
          <w:lang w:val="es-ES"/>
        </w:rPr>
        <w:t xml:space="preserve">[2003], para. </w:t>
      </w:r>
      <w:r w:rsidRPr="006A128A">
        <w:rPr>
          <w:rFonts w:ascii="Times New Roman" w:hAnsi="Times New Roman"/>
          <w:lang w:val="en-GB"/>
        </w:rPr>
        <w:t>48.</w:t>
      </w:r>
    </w:p>
  </w:footnote>
  <w:footnote w:id="95">
    <w:p w:rsidR="005E6612" w:rsidRDefault="005E6612" w:rsidP="006A128A">
      <w:pPr>
        <w:pStyle w:val="Testonotaapidipagina"/>
        <w:jc w:val="both"/>
      </w:pPr>
      <w:r w:rsidRPr="006A128A">
        <w:rPr>
          <w:rStyle w:val="Rimandonotaapidipagina"/>
          <w:rFonts w:ascii="Times New Roman" w:hAnsi="Times New Roman"/>
          <w:lang w:val="en-GB"/>
        </w:rPr>
        <w:footnoteRef/>
      </w:r>
      <w:r w:rsidRPr="006A128A">
        <w:rPr>
          <w:rFonts w:ascii="Times New Roman" w:hAnsi="Times New Roman"/>
          <w:lang w:val="es-ES"/>
        </w:rPr>
        <w:t xml:space="preserve"> </w:t>
      </w:r>
      <w:r w:rsidRPr="006A128A">
        <w:rPr>
          <w:rFonts w:ascii="Times New Roman" w:hAnsi="Times New Roman"/>
          <w:i/>
          <w:iCs/>
          <w:lang w:val="es-ES"/>
        </w:rPr>
        <w:t>Pupino</w:t>
      </w:r>
      <w:r w:rsidRPr="006A128A">
        <w:rPr>
          <w:rFonts w:ascii="Times New Roman" w:hAnsi="Times New Roman"/>
          <w:lang w:val="es-ES"/>
        </w:rPr>
        <w:t xml:space="preserve"> [2005], para. 58-59.</w:t>
      </w:r>
    </w:p>
  </w:footnote>
  <w:footnote w:id="96">
    <w:p w:rsidR="005E6612" w:rsidRDefault="005E6612" w:rsidP="006A128A">
      <w:pPr>
        <w:pStyle w:val="Testonotaapidipagina"/>
        <w:jc w:val="both"/>
      </w:pPr>
      <w:r w:rsidRPr="006A128A">
        <w:rPr>
          <w:rStyle w:val="Rimandonotaapidipagina"/>
          <w:rFonts w:ascii="Times New Roman" w:hAnsi="Times New Roman"/>
          <w:lang w:val="en-GB"/>
        </w:rPr>
        <w:footnoteRef/>
      </w:r>
      <w:r w:rsidRPr="006A128A">
        <w:rPr>
          <w:rFonts w:ascii="Times New Roman" w:hAnsi="Times New Roman"/>
          <w:lang w:val="es-ES"/>
        </w:rPr>
        <w:t xml:space="preserve"> </w:t>
      </w:r>
      <w:r w:rsidRPr="006A128A">
        <w:rPr>
          <w:rFonts w:ascii="Times New Roman" w:hAnsi="Times New Roman"/>
          <w:i/>
          <w:iCs/>
          <w:lang w:val="es-ES"/>
        </w:rPr>
        <w:t xml:space="preserve">Mangold </w:t>
      </w:r>
      <w:r w:rsidRPr="006A128A">
        <w:rPr>
          <w:rFonts w:ascii="Times New Roman" w:hAnsi="Times New Roman"/>
          <w:lang w:val="es-ES"/>
        </w:rPr>
        <w:t>[2005], para. 74-75.</w:t>
      </w:r>
    </w:p>
  </w:footnote>
  <w:footnote w:id="97">
    <w:p w:rsidR="005E6612" w:rsidRDefault="005E6612" w:rsidP="006A128A">
      <w:pPr>
        <w:pStyle w:val="Testonotaapidipagina"/>
        <w:jc w:val="both"/>
      </w:pPr>
      <w:r w:rsidRPr="006A128A">
        <w:rPr>
          <w:rStyle w:val="Rimandonotaapidipagina"/>
          <w:rFonts w:ascii="Times New Roman" w:hAnsi="Times New Roman"/>
          <w:lang w:val="en-GB"/>
        </w:rPr>
        <w:footnoteRef/>
      </w:r>
      <w:r w:rsidRPr="006A128A">
        <w:rPr>
          <w:rFonts w:ascii="Times New Roman" w:hAnsi="Times New Roman"/>
          <w:lang w:val="es-ES"/>
        </w:rPr>
        <w:t xml:space="preserve"> </w:t>
      </w:r>
      <w:r w:rsidRPr="006A128A">
        <w:rPr>
          <w:rFonts w:ascii="Times New Roman" w:hAnsi="Times New Roman"/>
          <w:i/>
          <w:iCs/>
          <w:lang w:val="es-ES"/>
        </w:rPr>
        <w:t xml:space="preserve">Advocaten voor de Wereld </w:t>
      </w:r>
      <w:r w:rsidRPr="006A128A">
        <w:rPr>
          <w:rFonts w:ascii="Times New Roman" w:hAnsi="Times New Roman"/>
          <w:lang w:val="es-ES"/>
        </w:rPr>
        <w:t xml:space="preserve">[2007], para. </w:t>
      </w:r>
      <w:r w:rsidRPr="006A128A">
        <w:rPr>
          <w:rFonts w:ascii="Times New Roman" w:hAnsi="Times New Roman"/>
          <w:lang w:val="en-GB"/>
        </w:rPr>
        <w:t xml:space="preserve">49. </w:t>
      </w:r>
    </w:p>
  </w:footnote>
  <w:footnote w:id="98">
    <w:p w:rsidR="005E6612" w:rsidRDefault="005E6612" w:rsidP="006A128A">
      <w:pPr>
        <w:pStyle w:val="Testonotaapidipagina"/>
        <w:jc w:val="both"/>
      </w:pPr>
      <w:r w:rsidRPr="006A128A">
        <w:rPr>
          <w:rStyle w:val="Rimandonotaapidipagina"/>
          <w:rFonts w:ascii="Times New Roman" w:hAnsi="Times New Roman"/>
          <w:lang w:val="en-GB"/>
        </w:rPr>
        <w:footnoteRef/>
      </w:r>
      <w:r w:rsidRPr="006A128A">
        <w:rPr>
          <w:rFonts w:ascii="Times New Roman" w:hAnsi="Times New Roman"/>
          <w:lang w:val="en-GB"/>
        </w:rPr>
        <w:t xml:space="preserve"> </w:t>
      </w:r>
      <w:r w:rsidRPr="006A128A">
        <w:rPr>
          <w:rFonts w:ascii="Times New Roman" w:hAnsi="Times New Roman"/>
          <w:i/>
          <w:lang w:val="en-GB"/>
        </w:rPr>
        <w:t>Viking</w:t>
      </w:r>
      <w:r w:rsidRPr="006A128A">
        <w:rPr>
          <w:rFonts w:ascii="Times New Roman" w:hAnsi="Times New Roman"/>
          <w:lang w:val="en-GB"/>
        </w:rPr>
        <w:t xml:space="preserve"> [2007], para. 43.</w:t>
      </w:r>
    </w:p>
  </w:footnote>
  <w:footnote w:id="99">
    <w:p w:rsidR="005E6612" w:rsidRDefault="005E6612" w:rsidP="006A128A">
      <w:pPr>
        <w:pStyle w:val="Testonotaapidipagina"/>
        <w:jc w:val="both"/>
      </w:pPr>
      <w:r w:rsidRPr="006A128A">
        <w:rPr>
          <w:rStyle w:val="Rimandonotaapidipagina"/>
          <w:rFonts w:ascii="Times New Roman" w:hAnsi="Times New Roman"/>
          <w:lang w:val="en-GB"/>
        </w:rPr>
        <w:footnoteRef/>
      </w:r>
      <w:r w:rsidRPr="006A128A">
        <w:rPr>
          <w:rFonts w:ascii="Times New Roman" w:hAnsi="Times New Roman"/>
          <w:lang w:val="es-ES"/>
        </w:rPr>
        <w:t xml:space="preserve"> </w:t>
      </w:r>
      <w:r w:rsidRPr="006A128A">
        <w:rPr>
          <w:rFonts w:ascii="Times New Roman" w:hAnsi="Times New Roman"/>
          <w:bCs/>
          <w:i/>
          <w:lang w:val="es-ES"/>
        </w:rPr>
        <w:t>Kadi</w:t>
      </w:r>
      <w:r w:rsidRPr="006A128A">
        <w:rPr>
          <w:rFonts w:ascii="Times New Roman" w:hAnsi="Times New Roman"/>
          <w:bCs/>
          <w:lang w:val="es-ES"/>
        </w:rPr>
        <w:t xml:space="preserve"> [2008], para. 283.</w:t>
      </w:r>
    </w:p>
  </w:footnote>
  <w:footnote w:id="100">
    <w:p w:rsidR="005E6612" w:rsidRDefault="005E6612" w:rsidP="006A128A">
      <w:pPr>
        <w:pStyle w:val="Testonotaapidipagina"/>
        <w:jc w:val="both"/>
      </w:pPr>
      <w:r w:rsidRPr="006A128A">
        <w:rPr>
          <w:rStyle w:val="Rimandonotaapidipagina"/>
          <w:rFonts w:ascii="Times New Roman" w:hAnsi="Times New Roman"/>
        </w:rPr>
        <w:footnoteRef/>
      </w:r>
      <w:r w:rsidRPr="006A128A">
        <w:rPr>
          <w:rFonts w:ascii="Times New Roman" w:hAnsi="Times New Roman"/>
        </w:rPr>
        <w:t xml:space="preserve"> </w:t>
      </w:r>
      <w:r w:rsidRPr="006A128A">
        <w:rPr>
          <w:rFonts w:ascii="Times New Roman" w:hAnsi="Times New Roman"/>
          <w:i/>
          <w:lang w:val="es-ES"/>
        </w:rPr>
        <w:t>Hauer</w:t>
      </w:r>
      <w:r w:rsidRPr="006A128A">
        <w:rPr>
          <w:rFonts w:ascii="Times New Roman" w:hAnsi="Times New Roman"/>
          <w:lang w:val="es-ES"/>
        </w:rPr>
        <w:t xml:space="preserve"> [1979], para. 20, on the </w:t>
      </w:r>
      <w:r w:rsidRPr="006A128A">
        <w:rPr>
          <w:rFonts w:ascii="Times New Roman" w:hAnsi="Times New Roman"/>
          <w:iCs/>
          <w:lang w:val="en-GB"/>
        </w:rPr>
        <w:t>social function of the right to property</w:t>
      </w:r>
      <w:r w:rsidRPr="006A128A">
        <w:rPr>
          <w:rFonts w:ascii="Times New Roman" w:hAnsi="Times New Roman"/>
          <w:lang w:val="es-ES"/>
        </w:rPr>
        <w:t xml:space="preserve">, and </w:t>
      </w:r>
      <w:r w:rsidRPr="006A128A">
        <w:rPr>
          <w:rFonts w:ascii="Times New Roman" w:hAnsi="Times New Roman"/>
          <w:i/>
          <w:iCs/>
          <w:lang w:val="es-ES"/>
        </w:rPr>
        <w:t xml:space="preserve">Köbler </w:t>
      </w:r>
      <w:r w:rsidRPr="006A128A">
        <w:rPr>
          <w:rFonts w:ascii="Times New Roman" w:hAnsi="Times New Roman"/>
          <w:lang w:val="es-ES"/>
        </w:rPr>
        <w:t xml:space="preserve">[2003], para. </w:t>
      </w:r>
      <w:r w:rsidRPr="006A128A">
        <w:rPr>
          <w:rFonts w:ascii="Times New Roman" w:hAnsi="Times New Roman"/>
          <w:lang w:val="en-GB"/>
        </w:rPr>
        <w:t xml:space="preserve">48, on </w:t>
      </w:r>
      <w:r>
        <w:rPr>
          <w:rFonts w:ascii="Times New Roman" w:hAnsi="Times New Roman"/>
          <w:lang w:val="en-GB"/>
        </w:rPr>
        <w:t>state liability for judicial decisions.</w:t>
      </w:r>
    </w:p>
  </w:footnote>
  <w:footnote w:id="101">
    <w:p w:rsidR="005E6612" w:rsidRDefault="005E6612" w:rsidP="00B27D8E">
      <w:pPr>
        <w:pStyle w:val="Testonotaapidipagina"/>
        <w:jc w:val="both"/>
      </w:pPr>
      <w:r w:rsidRPr="00D73610">
        <w:rPr>
          <w:rStyle w:val="Rimandonotaapidipagina"/>
          <w:rFonts w:ascii="Times New Roman" w:hAnsi="Times New Roman"/>
          <w:lang w:val="en-GB"/>
        </w:rPr>
        <w:footnoteRef/>
      </w:r>
      <w:r w:rsidRPr="007945B9">
        <w:rPr>
          <w:rFonts w:ascii="Times New Roman" w:hAnsi="Times New Roman"/>
          <w:lang w:val="en-GB"/>
        </w:rPr>
        <w:t xml:space="preserve"> </w:t>
      </w:r>
      <w:r w:rsidRPr="007945B9">
        <w:rPr>
          <w:rFonts w:ascii="Times New Roman" w:hAnsi="Times New Roman"/>
          <w:i/>
          <w:iCs/>
          <w:lang w:val="en-GB"/>
        </w:rPr>
        <w:t xml:space="preserve">Bosman </w:t>
      </w:r>
      <w:r w:rsidRPr="007945B9">
        <w:rPr>
          <w:rFonts w:ascii="Times New Roman" w:hAnsi="Times New Roman"/>
          <w:lang w:val="en-GB"/>
        </w:rPr>
        <w:t xml:space="preserve">[1995], para. </w:t>
      </w:r>
      <w:r w:rsidRPr="00D73610">
        <w:rPr>
          <w:rFonts w:ascii="Times New Roman" w:hAnsi="Times New Roman"/>
          <w:lang w:val="en-GB"/>
        </w:rPr>
        <w:t>81.</w:t>
      </w:r>
    </w:p>
  </w:footnote>
  <w:footnote w:id="102">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bCs/>
          <w:iCs/>
          <w:lang w:val="en-GB"/>
        </w:rPr>
        <w:t xml:space="preserve">Case C-374/89, </w:t>
      </w:r>
      <w:r w:rsidRPr="00D73610">
        <w:rPr>
          <w:rFonts w:ascii="Times New Roman" w:hAnsi="Times New Roman"/>
          <w:i/>
          <w:lang w:val="en-GB"/>
        </w:rPr>
        <w:t>Commission v Belgium</w:t>
      </w:r>
      <w:r w:rsidRPr="00D73610">
        <w:rPr>
          <w:rFonts w:ascii="Times New Roman" w:hAnsi="Times New Roman"/>
          <w:lang w:val="en-GB"/>
        </w:rPr>
        <w:t xml:space="preserve"> [1991] ECR I-367, </w:t>
      </w:r>
      <w:r>
        <w:rPr>
          <w:rFonts w:ascii="Times New Roman" w:hAnsi="Times New Roman"/>
          <w:lang w:val="en-GB"/>
        </w:rPr>
        <w:t>para.</w:t>
      </w:r>
      <w:r w:rsidRPr="00D73610">
        <w:rPr>
          <w:rFonts w:ascii="Times New Roman" w:hAnsi="Times New Roman"/>
          <w:lang w:val="en-GB"/>
        </w:rPr>
        <w:t xml:space="preserve"> 15. Starting with </w:t>
      </w:r>
      <w:r w:rsidRPr="00D73610">
        <w:rPr>
          <w:rFonts w:ascii="Times New Roman" w:hAnsi="Times New Roman"/>
          <w:bCs/>
          <w:iCs/>
          <w:lang w:val="en-GB"/>
        </w:rPr>
        <w:t xml:space="preserve">Case C-275/00, </w:t>
      </w:r>
      <w:r w:rsidRPr="00D73610">
        <w:rPr>
          <w:rFonts w:ascii="Times New Roman" w:hAnsi="Times New Roman"/>
          <w:bCs/>
          <w:i/>
          <w:iCs/>
          <w:lang w:val="en-GB"/>
        </w:rPr>
        <w:t xml:space="preserve">First and Franex </w:t>
      </w:r>
      <w:r w:rsidRPr="00D73610">
        <w:rPr>
          <w:rFonts w:ascii="Times New Roman" w:hAnsi="Times New Roman"/>
          <w:bCs/>
          <w:iCs/>
          <w:lang w:val="en-GB"/>
        </w:rPr>
        <w:t>[2002] ECR</w:t>
      </w:r>
      <w:r w:rsidRPr="00D73610">
        <w:rPr>
          <w:rFonts w:ascii="Times New Roman" w:hAnsi="Times New Roman"/>
          <w:lang w:val="en-GB"/>
        </w:rPr>
        <w:t xml:space="preserve"> </w:t>
      </w:r>
      <w:r w:rsidRPr="00D73610">
        <w:rPr>
          <w:rFonts w:ascii="Times New Roman" w:hAnsi="Times New Roman"/>
          <w:bCs/>
          <w:iCs/>
          <w:lang w:val="en-GB"/>
        </w:rPr>
        <w:t xml:space="preserve">I-10943, </w:t>
      </w:r>
      <w:r>
        <w:rPr>
          <w:rFonts w:ascii="Times New Roman" w:hAnsi="Times New Roman"/>
          <w:bCs/>
          <w:iCs/>
          <w:lang w:val="en-GB"/>
        </w:rPr>
        <w:t>para.</w:t>
      </w:r>
      <w:r w:rsidRPr="00D73610">
        <w:rPr>
          <w:rFonts w:ascii="Times New Roman" w:hAnsi="Times New Roman"/>
          <w:bCs/>
          <w:iCs/>
          <w:lang w:val="en-GB"/>
        </w:rPr>
        <w:t xml:space="preserve"> 34, the Court began to use the expression </w:t>
      </w:r>
      <w:r>
        <w:rPr>
          <w:rFonts w:ascii="Times New Roman" w:hAnsi="Times New Roman"/>
          <w:bCs/>
          <w:iCs/>
          <w:lang w:val="en-GB"/>
        </w:rPr>
        <w:t>‘</w:t>
      </w:r>
      <w:r w:rsidRPr="00D73610">
        <w:rPr>
          <w:rFonts w:ascii="Times New Roman" w:hAnsi="Times New Roman"/>
          <w:bCs/>
          <w:iCs/>
          <w:lang w:val="en-GB"/>
        </w:rPr>
        <w:t>loyal cooperation</w:t>
      </w:r>
      <w:r>
        <w:rPr>
          <w:rFonts w:ascii="Times New Roman" w:hAnsi="Times New Roman"/>
          <w:bCs/>
          <w:iCs/>
          <w:lang w:val="en-GB"/>
        </w:rPr>
        <w:t>’</w:t>
      </w:r>
      <w:r w:rsidRPr="00D73610">
        <w:rPr>
          <w:rFonts w:ascii="Times New Roman" w:hAnsi="Times New Roman"/>
          <w:bCs/>
          <w:iCs/>
          <w:lang w:val="en-GB"/>
        </w:rPr>
        <w:t xml:space="preserve"> with great frequency.</w:t>
      </w:r>
    </w:p>
  </w:footnote>
  <w:footnote w:id="103">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i/>
          <w:iCs/>
          <w:lang w:val="en-GB"/>
        </w:rPr>
        <w:t>Pupino</w:t>
      </w:r>
      <w:r w:rsidRPr="00D73610">
        <w:rPr>
          <w:rFonts w:ascii="Times New Roman" w:hAnsi="Times New Roman"/>
          <w:lang w:val="en-GB"/>
        </w:rPr>
        <w:t xml:space="preserve"> [2005], </w:t>
      </w:r>
      <w:r>
        <w:rPr>
          <w:rFonts w:ascii="Times New Roman" w:hAnsi="Times New Roman"/>
          <w:lang w:val="en-GB"/>
        </w:rPr>
        <w:t>para.</w:t>
      </w:r>
      <w:r w:rsidRPr="00D73610">
        <w:rPr>
          <w:rFonts w:ascii="Times New Roman" w:hAnsi="Times New Roman"/>
          <w:lang w:val="en-GB"/>
        </w:rPr>
        <w:t xml:space="preserve"> 42.</w:t>
      </w:r>
    </w:p>
  </w:footnote>
  <w:footnote w:id="104">
    <w:p w:rsidR="005E6612" w:rsidRDefault="005E6612" w:rsidP="00B27D8E">
      <w:pPr>
        <w:spacing w:after="0" w:line="240" w:lineRule="auto"/>
        <w:jc w:val="both"/>
      </w:pPr>
      <w:r w:rsidRPr="00D73610">
        <w:rPr>
          <w:rStyle w:val="Rimandonotaapidipagina"/>
          <w:rFonts w:ascii="Times New Roman" w:hAnsi="Times New Roman"/>
          <w:sz w:val="20"/>
          <w:szCs w:val="20"/>
          <w:lang w:val="en-GB"/>
        </w:rPr>
        <w:footnoteRef/>
      </w:r>
      <w:r w:rsidRPr="00D73610">
        <w:rPr>
          <w:rFonts w:ascii="Times New Roman" w:hAnsi="Times New Roman"/>
          <w:sz w:val="20"/>
          <w:szCs w:val="20"/>
          <w:lang w:val="en-GB"/>
        </w:rPr>
        <w:t xml:space="preserve"> The expression was used for the first time in Case C-33/76, </w:t>
      </w:r>
      <w:r w:rsidRPr="00D73610">
        <w:rPr>
          <w:rFonts w:ascii="Times New Roman" w:hAnsi="Times New Roman"/>
          <w:i/>
          <w:sz w:val="20"/>
          <w:szCs w:val="20"/>
          <w:lang w:val="en-GB"/>
        </w:rPr>
        <w:t>Rewe-Zentralfinanz</w:t>
      </w:r>
      <w:r w:rsidRPr="00D73610">
        <w:rPr>
          <w:rFonts w:ascii="Times New Roman" w:hAnsi="Times New Roman"/>
          <w:sz w:val="20"/>
          <w:szCs w:val="20"/>
          <w:lang w:val="en-GB"/>
        </w:rPr>
        <w:t xml:space="preserve"> [1976] ECR </w:t>
      </w:r>
      <w:r w:rsidRPr="00D73610">
        <w:rPr>
          <w:rStyle w:val="st"/>
          <w:rFonts w:ascii="Times New Roman" w:hAnsi="Times New Roman"/>
          <w:sz w:val="20"/>
          <w:szCs w:val="20"/>
          <w:lang w:val="en-GB"/>
        </w:rPr>
        <w:t>1989,</w:t>
      </w:r>
      <w:r w:rsidRPr="00D73610">
        <w:rPr>
          <w:rFonts w:ascii="Times New Roman" w:hAnsi="Times New Roman"/>
          <w:sz w:val="20"/>
          <w:szCs w:val="20"/>
          <w:lang w:val="en-GB"/>
        </w:rPr>
        <w:t xml:space="preserve"> </w:t>
      </w:r>
      <w:r>
        <w:rPr>
          <w:rFonts w:ascii="Times New Roman" w:hAnsi="Times New Roman"/>
          <w:sz w:val="20"/>
          <w:szCs w:val="20"/>
          <w:lang w:val="en-GB"/>
        </w:rPr>
        <w:t>para.</w:t>
      </w:r>
      <w:r w:rsidRPr="00D73610">
        <w:rPr>
          <w:rFonts w:ascii="Times New Roman" w:hAnsi="Times New Roman"/>
          <w:sz w:val="20"/>
          <w:szCs w:val="20"/>
          <w:lang w:val="en-GB"/>
        </w:rPr>
        <w:t xml:space="preserve"> 5. See also </w:t>
      </w:r>
      <w:r w:rsidRPr="00D73610">
        <w:rPr>
          <w:rFonts w:ascii="Times New Roman" w:hAnsi="Times New Roman"/>
          <w:bCs/>
          <w:i/>
          <w:iCs/>
          <w:sz w:val="20"/>
          <w:szCs w:val="20"/>
          <w:lang w:val="en-GB"/>
        </w:rPr>
        <w:t xml:space="preserve">Factortame </w:t>
      </w:r>
      <w:r w:rsidRPr="00D73610">
        <w:rPr>
          <w:rFonts w:ascii="Times New Roman" w:hAnsi="Times New Roman"/>
          <w:bCs/>
          <w:sz w:val="20"/>
          <w:szCs w:val="20"/>
          <w:lang w:val="en-GB"/>
        </w:rPr>
        <w:t xml:space="preserve">[1990], </w:t>
      </w:r>
      <w:r>
        <w:rPr>
          <w:rFonts w:ascii="Times New Roman" w:hAnsi="Times New Roman"/>
          <w:bCs/>
          <w:sz w:val="20"/>
          <w:szCs w:val="20"/>
          <w:lang w:val="en-GB"/>
        </w:rPr>
        <w:t>para.</w:t>
      </w:r>
      <w:r w:rsidRPr="00D73610">
        <w:rPr>
          <w:rFonts w:ascii="Times New Roman" w:hAnsi="Times New Roman"/>
          <w:bCs/>
          <w:sz w:val="20"/>
          <w:szCs w:val="20"/>
          <w:lang w:val="en-GB"/>
        </w:rPr>
        <w:t xml:space="preserve"> </w:t>
      </w:r>
      <w:r w:rsidRPr="00D73610">
        <w:rPr>
          <w:rFonts w:ascii="Times New Roman" w:hAnsi="Times New Roman"/>
          <w:iCs/>
          <w:sz w:val="20"/>
          <w:szCs w:val="20"/>
          <w:lang w:val="en-GB"/>
        </w:rPr>
        <w:t>19.</w:t>
      </w:r>
    </w:p>
  </w:footnote>
  <w:footnote w:id="105">
    <w:p w:rsidR="005E6612" w:rsidRDefault="005E6612" w:rsidP="00B27D8E">
      <w:pPr>
        <w:spacing w:after="0" w:line="240" w:lineRule="auto"/>
        <w:jc w:val="both"/>
      </w:pPr>
      <w:r w:rsidRPr="00550AFF">
        <w:rPr>
          <w:rStyle w:val="Rimandonotaapidipagina"/>
          <w:rFonts w:ascii="Times New Roman" w:hAnsi="Times New Roman"/>
          <w:sz w:val="20"/>
          <w:szCs w:val="20"/>
          <w:lang w:val="en-GB"/>
        </w:rPr>
        <w:footnoteRef/>
      </w:r>
      <w:r w:rsidRPr="00550AFF">
        <w:rPr>
          <w:rFonts w:ascii="Times New Roman" w:hAnsi="Times New Roman"/>
          <w:sz w:val="20"/>
          <w:szCs w:val="20"/>
          <w:lang w:val="en-GB"/>
        </w:rPr>
        <w:t xml:space="preserve"> See, e.g., </w:t>
      </w:r>
      <w:r w:rsidRPr="00550AFF">
        <w:rPr>
          <w:rFonts w:ascii="Times New Roman" w:hAnsi="Times New Roman"/>
          <w:i/>
          <w:iCs/>
          <w:sz w:val="20"/>
          <w:szCs w:val="20"/>
          <w:lang w:val="en-GB"/>
        </w:rPr>
        <w:t xml:space="preserve">Brasserie du Pêcheur </w:t>
      </w:r>
      <w:r w:rsidRPr="00550AFF">
        <w:rPr>
          <w:rFonts w:ascii="Times New Roman" w:hAnsi="Times New Roman"/>
          <w:sz w:val="20"/>
          <w:szCs w:val="20"/>
          <w:lang w:val="en-GB"/>
        </w:rPr>
        <w:t xml:space="preserve">[1996], para. 39. </w:t>
      </w:r>
    </w:p>
  </w:footnote>
  <w:footnote w:id="106">
    <w:p w:rsidR="005E6612" w:rsidRDefault="005E6612" w:rsidP="00B27D8E">
      <w:pPr>
        <w:pStyle w:val="Testonotaapidipagina"/>
        <w:jc w:val="both"/>
      </w:pPr>
      <w:r w:rsidRPr="00550AFF">
        <w:rPr>
          <w:rStyle w:val="Rimandonotaapidipagina"/>
          <w:rFonts w:ascii="Times New Roman" w:hAnsi="Times New Roman"/>
          <w:lang w:val="en-GB"/>
        </w:rPr>
        <w:footnoteRef/>
      </w:r>
      <w:r w:rsidRPr="00550AFF">
        <w:rPr>
          <w:rFonts w:ascii="Times New Roman" w:hAnsi="Times New Roman"/>
          <w:lang w:val="en-GB"/>
        </w:rPr>
        <w:t xml:space="preserve"> See, e.g., </w:t>
      </w:r>
      <w:r w:rsidRPr="00550AFF">
        <w:rPr>
          <w:rFonts w:ascii="Times New Roman" w:hAnsi="Times New Roman"/>
          <w:bCs/>
          <w:i/>
          <w:iCs/>
          <w:lang w:val="en-GB"/>
        </w:rPr>
        <w:t>Francovich</w:t>
      </w:r>
      <w:r w:rsidRPr="00550AFF">
        <w:rPr>
          <w:rFonts w:ascii="Times New Roman" w:hAnsi="Times New Roman"/>
          <w:bCs/>
          <w:iCs/>
          <w:lang w:val="en-GB"/>
        </w:rPr>
        <w:t xml:space="preserve"> [1991], para. 36.</w:t>
      </w:r>
    </w:p>
  </w:footnote>
  <w:footnote w:id="107">
    <w:p w:rsidR="005E6612" w:rsidRDefault="005E6612" w:rsidP="00B27D8E">
      <w:pPr>
        <w:pStyle w:val="Testonotaapidipagina"/>
        <w:jc w:val="both"/>
      </w:pPr>
      <w:r w:rsidRPr="00550AFF">
        <w:rPr>
          <w:rStyle w:val="Rimandonotaapidipagina"/>
          <w:rFonts w:ascii="Times New Roman" w:hAnsi="Times New Roman"/>
          <w:lang w:val="en-GB"/>
        </w:rPr>
        <w:footnoteRef/>
      </w:r>
      <w:r w:rsidRPr="00550AFF">
        <w:rPr>
          <w:rFonts w:ascii="Times New Roman" w:hAnsi="Times New Roman"/>
          <w:lang w:val="en-GB"/>
        </w:rPr>
        <w:t xml:space="preserve"> </w:t>
      </w:r>
      <w:r w:rsidRPr="00D0511B">
        <w:rPr>
          <w:rFonts w:ascii="Times New Roman" w:hAnsi="Times New Roman"/>
          <w:i/>
          <w:lang w:val="en-GB"/>
        </w:rPr>
        <w:t xml:space="preserve">Schmidberger </w:t>
      </w:r>
      <w:r w:rsidRPr="00D0511B">
        <w:rPr>
          <w:rFonts w:ascii="Times New Roman" w:hAnsi="Times New Roman"/>
          <w:lang w:val="en-GB"/>
        </w:rPr>
        <w:t>[2003] para. 79;</w:t>
      </w:r>
      <w:r w:rsidRPr="00C13CDF">
        <w:rPr>
          <w:rFonts w:ascii="Times New Roman" w:hAnsi="Times New Roman"/>
          <w:lang w:val="en-GB"/>
        </w:rPr>
        <w:t xml:space="preserve"> </w:t>
      </w:r>
      <w:r w:rsidRPr="00550AFF">
        <w:rPr>
          <w:rFonts w:ascii="Times New Roman" w:hAnsi="Times New Roman"/>
          <w:i/>
          <w:lang w:val="en-GB"/>
        </w:rPr>
        <w:t>Kadi</w:t>
      </w:r>
      <w:r w:rsidRPr="00550AFF">
        <w:rPr>
          <w:rFonts w:ascii="Times New Roman" w:hAnsi="Times New Roman"/>
          <w:lang w:val="en-GB"/>
        </w:rPr>
        <w:t xml:space="preserve"> [2008], para. 303.</w:t>
      </w:r>
    </w:p>
  </w:footnote>
  <w:footnote w:id="108">
    <w:p w:rsidR="005E6612" w:rsidRDefault="005E6612" w:rsidP="00B27D8E">
      <w:pPr>
        <w:pStyle w:val="Testonotaapidipagina"/>
        <w:jc w:val="both"/>
      </w:pPr>
      <w:r w:rsidRPr="00550AFF">
        <w:rPr>
          <w:rStyle w:val="Rimandonotaapidipagina"/>
          <w:rFonts w:ascii="Times New Roman" w:hAnsi="Times New Roman"/>
          <w:lang w:val="en-GB"/>
        </w:rPr>
        <w:footnoteRef/>
      </w:r>
      <w:r w:rsidRPr="00550AFF">
        <w:rPr>
          <w:rFonts w:ascii="Times New Roman" w:hAnsi="Times New Roman"/>
          <w:lang w:val="en-GB"/>
        </w:rPr>
        <w:t xml:space="preserve"> </w:t>
      </w:r>
      <w:r w:rsidRPr="00550AFF">
        <w:rPr>
          <w:rFonts w:ascii="Times New Roman" w:hAnsi="Times New Roman"/>
          <w:bCs/>
          <w:iCs/>
          <w:lang w:val="en-GB"/>
        </w:rPr>
        <w:t xml:space="preserve">Case </w:t>
      </w:r>
      <w:r w:rsidRPr="00550AFF">
        <w:rPr>
          <w:rFonts w:ascii="Times New Roman" w:hAnsi="Times New Roman"/>
          <w:bCs/>
          <w:lang w:val="en-GB"/>
        </w:rPr>
        <w:t xml:space="preserve">C-138/79, </w:t>
      </w:r>
      <w:r w:rsidRPr="00550AFF">
        <w:rPr>
          <w:rFonts w:ascii="Times New Roman" w:hAnsi="Times New Roman"/>
          <w:bCs/>
          <w:i/>
          <w:lang w:val="en-GB"/>
        </w:rPr>
        <w:t xml:space="preserve">Roquette Frères </w:t>
      </w:r>
      <w:r w:rsidRPr="00550AFF">
        <w:rPr>
          <w:rFonts w:ascii="Times New Roman" w:hAnsi="Times New Roman"/>
          <w:bCs/>
          <w:lang w:val="en-GB"/>
        </w:rPr>
        <w:t>v</w:t>
      </w:r>
      <w:r w:rsidRPr="00550AFF">
        <w:rPr>
          <w:rFonts w:ascii="Times New Roman" w:hAnsi="Times New Roman"/>
          <w:bCs/>
          <w:i/>
          <w:lang w:val="en-GB"/>
        </w:rPr>
        <w:t xml:space="preserve"> Council</w:t>
      </w:r>
      <w:r w:rsidRPr="00550AFF">
        <w:rPr>
          <w:rFonts w:ascii="Times New Roman" w:hAnsi="Times New Roman"/>
          <w:bCs/>
          <w:lang w:val="en-GB"/>
        </w:rPr>
        <w:t xml:space="preserve"> [1980] ECR 3333, para. 33; </w:t>
      </w:r>
      <w:r w:rsidRPr="00550AFF">
        <w:rPr>
          <w:rFonts w:ascii="Times New Roman" w:hAnsi="Times New Roman"/>
          <w:bCs/>
          <w:iCs/>
          <w:lang w:val="en-GB"/>
        </w:rPr>
        <w:t xml:space="preserve">Case C-139/79, </w:t>
      </w:r>
      <w:r w:rsidRPr="00550AFF">
        <w:rPr>
          <w:rFonts w:ascii="Times New Roman" w:hAnsi="Times New Roman"/>
          <w:bCs/>
          <w:i/>
          <w:iCs/>
          <w:lang w:val="en-GB"/>
        </w:rPr>
        <w:t xml:space="preserve">Maizena </w:t>
      </w:r>
      <w:r w:rsidRPr="00550AFF">
        <w:rPr>
          <w:rFonts w:ascii="Times New Roman" w:hAnsi="Times New Roman"/>
          <w:bCs/>
          <w:iCs/>
          <w:lang w:val="en-GB"/>
        </w:rPr>
        <w:t xml:space="preserve">v </w:t>
      </w:r>
      <w:r w:rsidRPr="00550AFF">
        <w:rPr>
          <w:rFonts w:ascii="Times New Roman" w:hAnsi="Times New Roman"/>
          <w:bCs/>
          <w:i/>
          <w:iCs/>
          <w:lang w:val="en-GB"/>
        </w:rPr>
        <w:t xml:space="preserve">Council </w:t>
      </w:r>
      <w:r w:rsidRPr="00550AFF">
        <w:rPr>
          <w:rFonts w:ascii="Times New Roman" w:hAnsi="Times New Roman"/>
          <w:bCs/>
          <w:iCs/>
          <w:lang w:val="en-GB"/>
        </w:rPr>
        <w:t>[1980] ECR 3393, para. 34</w:t>
      </w:r>
      <w:r w:rsidRPr="00D73610">
        <w:rPr>
          <w:rFonts w:ascii="Times New Roman" w:hAnsi="Times New Roman"/>
          <w:bCs/>
          <w:iCs/>
          <w:lang w:val="en-GB"/>
        </w:rPr>
        <w:t>.</w:t>
      </w:r>
    </w:p>
  </w:footnote>
  <w:footnote w:id="109">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See, e.g. </w:t>
      </w:r>
      <w:r w:rsidRPr="00D73610">
        <w:rPr>
          <w:rFonts w:ascii="Times New Roman" w:hAnsi="Times New Roman"/>
          <w:bCs/>
          <w:lang w:val="en-GB"/>
        </w:rPr>
        <w:t>Case C</w:t>
      </w:r>
      <w:r w:rsidRPr="00D73610">
        <w:rPr>
          <w:rFonts w:ascii="Times New Roman" w:hAnsi="Times New Roman"/>
          <w:bCs/>
          <w:lang w:val="en-GB"/>
        </w:rPr>
        <w:noBreakHyphen/>
        <w:t xml:space="preserve">300/89, </w:t>
      </w:r>
      <w:r w:rsidRPr="00D73610">
        <w:rPr>
          <w:rFonts w:ascii="Times New Roman" w:hAnsi="Times New Roman"/>
          <w:bCs/>
          <w:i/>
          <w:iCs/>
          <w:lang w:val="en-GB"/>
        </w:rPr>
        <w:t>Commission</w:t>
      </w:r>
      <w:r w:rsidRPr="00D73610">
        <w:rPr>
          <w:rFonts w:ascii="Times New Roman" w:hAnsi="Times New Roman"/>
          <w:bCs/>
          <w:lang w:val="en-GB"/>
        </w:rPr>
        <w:t xml:space="preserve"> v </w:t>
      </w:r>
      <w:r w:rsidRPr="00D73610">
        <w:rPr>
          <w:rFonts w:ascii="Times New Roman" w:hAnsi="Times New Roman"/>
          <w:bCs/>
          <w:i/>
          <w:iCs/>
          <w:lang w:val="en-GB"/>
        </w:rPr>
        <w:t xml:space="preserve">Council </w:t>
      </w:r>
      <w:r w:rsidRPr="00D73610">
        <w:rPr>
          <w:rFonts w:ascii="Times New Roman" w:hAnsi="Times New Roman"/>
          <w:bCs/>
          <w:lang w:val="en-GB"/>
        </w:rPr>
        <w:t xml:space="preserve">[1991] ECR I-2867, </w:t>
      </w:r>
      <w:r>
        <w:rPr>
          <w:rFonts w:ascii="Times New Roman" w:hAnsi="Times New Roman"/>
          <w:bCs/>
          <w:lang w:val="en-GB"/>
        </w:rPr>
        <w:t>para.</w:t>
      </w:r>
      <w:r w:rsidRPr="00D73610">
        <w:rPr>
          <w:rFonts w:ascii="Times New Roman" w:hAnsi="Times New Roman"/>
          <w:bCs/>
          <w:lang w:val="en-GB"/>
        </w:rPr>
        <w:t xml:space="preserve"> 20; </w:t>
      </w:r>
      <w:r w:rsidRPr="00D73610">
        <w:rPr>
          <w:rFonts w:ascii="Times New Roman" w:hAnsi="Times New Roman"/>
          <w:lang w:val="en-GB"/>
        </w:rPr>
        <w:t xml:space="preserve">Case C-130/10, </w:t>
      </w:r>
      <w:r w:rsidRPr="00D73610">
        <w:rPr>
          <w:rFonts w:ascii="Times New Roman" w:hAnsi="Times New Roman"/>
          <w:i/>
          <w:lang w:val="en-GB"/>
        </w:rPr>
        <w:t xml:space="preserve">Parliament </w:t>
      </w:r>
      <w:r w:rsidRPr="00D73610">
        <w:rPr>
          <w:rFonts w:ascii="Times New Roman" w:hAnsi="Times New Roman"/>
          <w:lang w:val="en-GB"/>
        </w:rPr>
        <w:t>v</w:t>
      </w:r>
      <w:r w:rsidRPr="00D73610">
        <w:rPr>
          <w:rFonts w:ascii="Times New Roman" w:hAnsi="Times New Roman"/>
          <w:i/>
          <w:lang w:val="en-GB"/>
        </w:rPr>
        <w:t xml:space="preserve"> Council </w:t>
      </w:r>
      <w:r w:rsidRPr="00D73610">
        <w:rPr>
          <w:rFonts w:ascii="Times New Roman" w:hAnsi="Times New Roman"/>
          <w:iCs/>
          <w:lang w:val="en-GB"/>
        </w:rPr>
        <w:t xml:space="preserve">[2012], not yet published, </w:t>
      </w:r>
      <w:r>
        <w:rPr>
          <w:rFonts w:ascii="Times New Roman" w:hAnsi="Times New Roman"/>
          <w:iCs/>
          <w:lang w:val="en-GB"/>
        </w:rPr>
        <w:t>para.</w:t>
      </w:r>
      <w:r w:rsidRPr="00D73610">
        <w:rPr>
          <w:rFonts w:ascii="Times New Roman" w:hAnsi="Times New Roman"/>
          <w:iCs/>
          <w:lang w:val="en-GB"/>
        </w:rPr>
        <w:t xml:space="preserve"> 81</w:t>
      </w:r>
      <w:r w:rsidRPr="00D73610">
        <w:rPr>
          <w:rFonts w:ascii="Times New Roman" w:hAnsi="Times New Roman"/>
          <w:lang w:val="en-GB"/>
        </w:rPr>
        <w:t>.</w:t>
      </w:r>
    </w:p>
  </w:footnote>
  <w:footnote w:id="110">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iCs/>
          <w:lang w:val="en-GB"/>
        </w:rPr>
        <w:t xml:space="preserve">Case </w:t>
      </w:r>
      <w:r w:rsidRPr="00D73610">
        <w:rPr>
          <w:rFonts w:ascii="Times New Roman" w:hAnsi="Times New Roman"/>
          <w:lang w:val="en-GB"/>
        </w:rPr>
        <w:t xml:space="preserve">C-139/79, </w:t>
      </w:r>
      <w:r w:rsidRPr="00D73610">
        <w:rPr>
          <w:rFonts w:ascii="Times New Roman" w:hAnsi="Times New Roman"/>
          <w:i/>
          <w:lang w:val="en-GB"/>
        </w:rPr>
        <w:t xml:space="preserve">Maizena </w:t>
      </w:r>
      <w:r w:rsidRPr="00D73610">
        <w:rPr>
          <w:rFonts w:ascii="Times New Roman" w:hAnsi="Times New Roman"/>
          <w:iCs/>
          <w:lang w:val="en-GB"/>
        </w:rPr>
        <w:t>v</w:t>
      </w:r>
      <w:r w:rsidRPr="00D73610">
        <w:rPr>
          <w:rFonts w:ascii="Times New Roman" w:hAnsi="Times New Roman"/>
          <w:i/>
          <w:lang w:val="en-GB"/>
        </w:rPr>
        <w:t xml:space="preserve"> Council</w:t>
      </w:r>
      <w:r w:rsidRPr="00D73610">
        <w:rPr>
          <w:rFonts w:ascii="Times New Roman" w:hAnsi="Times New Roman"/>
          <w:lang w:val="en-GB"/>
        </w:rPr>
        <w:t xml:space="preserve"> [1980] ECR </w:t>
      </w:r>
      <w:r w:rsidRPr="00D73610">
        <w:rPr>
          <w:rFonts w:ascii="Times New Roman" w:hAnsi="Times New Roman"/>
          <w:bCs/>
          <w:iCs/>
          <w:lang w:val="en-GB"/>
        </w:rPr>
        <w:t xml:space="preserve">3393, </w:t>
      </w:r>
      <w:r>
        <w:rPr>
          <w:rFonts w:ascii="Times New Roman" w:hAnsi="Times New Roman"/>
          <w:lang w:val="en-GB"/>
        </w:rPr>
        <w:t>para.</w:t>
      </w:r>
      <w:r w:rsidRPr="00D73610">
        <w:rPr>
          <w:rFonts w:ascii="Times New Roman" w:hAnsi="Times New Roman"/>
          <w:lang w:val="en-GB"/>
        </w:rPr>
        <w:t xml:space="preserve"> 34.</w:t>
      </w:r>
    </w:p>
  </w:footnote>
  <w:footnote w:id="111">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bCs/>
          <w:lang w:val="en-GB"/>
        </w:rPr>
        <w:t xml:space="preserve">Case C-155/07, </w:t>
      </w:r>
      <w:r w:rsidRPr="00D73610">
        <w:rPr>
          <w:rFonts w:ascii="Times New Roman" w:hAnsi="Times New Roman"/>
          <w:bCs/>
          <w:i/>
          <w:lang w:val="en-GB"/>
        </w:rPr>
        <w:t xml:space="preserve">Parliament </w:t>
      </w:r>
      <w:r w:rsidRPr="00D73610">
        <w:rPr>
          <w:rFonts w:ascii="Times New Roman" w:hAnsi="Times New Roman"/>
          <w:bCs/>
          <w:lang w:val="en-GB"/>
        </w:rPr>
        <w:t>v</w:t>
      </w:r>
      <w:r w:rsidRPr="00D73610">
        <w:rPr>
          <w:rFonts w:ascii="Times New Roman" w:hAnsi="Times New Roman"/>
          <w:bCs/>
          <w:i/>
          <w:lang w:val="en-GB"/>
        </w:rPr>
        <w:t xml:space="preserve"> Council </w:t>
      </w:r>
      <w:r w:rsidRPr="00D73610">
        <w:rPr>
          <w:rFonts w:ascii="Times New Roman" w:hAnsi="Times New Roman"/>
          <w:bCs/>
          <w:lang w:val="en-GB"/>
        </w:rPr>
        <w:t xml:space="preserve">[2008] </w:t>
      </w:r>
      <w:r w:rsidRPr="00D73610">
        <w:rPr>
          <w:rFonts w:ascii="Times New Roman" w:hAnsi="Times New Roman"/>
          <w:bCs/>
          <w:iCs/>
          <w:lang w:val="en-GB"/>
        </w:rPr>
        <w:t>ECR I</w:t>
      </w:r>
      <w:r w:rsidRPr="00D73610">
        <w:rPr>
          <w:rFonts w:ascii="Times New Roman" w:hAnsi="Times New Roman"/>
          <w:bCs/>
          <w:lang w:val="en-GB"/>
        </w:rPr>
        <w:t>-</w:t>
      </w:r>
      <w:r w:rsidRPr="00D73610">
        <w:rPr>
          <w:rFonts w:ascii="Times New Roman" w:hAnsi="Times New Roman"/>
          <w:bCs/>
          <w:iCs/>
          <w:lang w:val="en-GB"/>
        </w:rPr>
        <w:t>8103</w:t>
      </w:r>
      <w:r w:rsidRPr="00D73610">
        <w:rPr>
          <w:rFonts w:ascii="Times New Roman" w:hAnsi="Times New Roman"/>
          <w:lang w:val="en-GB"/>
        </w:rPr>
        <w:t>.</w:t>
      </w:r>
    </w:p>
  </w:footnote>
  <w:footnote w:id="112">
    <w:p w:rsidR="005E6612" w:rsidRDefault="005E6612" w:rsidP="00B27D8E">
      <w:pPr>
        <w:spacing w:after="0" w:line="240" w:lineRule="auto"/>
        <w:jc w:val="both"/>
      </w:pPr>
      <w:r w:rsidRPr="00D73610">
        <w:rPr>
          <w:rStyle w:val="Rimandonotaapidipagina"/>
          <w:rFonts w:ascii="Times New Roman" w:hAnsi="Times New Roman"/>
          <w:sz w:val="20"/>
          <w:szCs w:val="20"/>
          <w:lang w:val="en-GB"/>
        </w:rPr>
        <w:footnoteRef/>
      </w:r>
      <w:r w:rsidRPr="00D73610">
        <w:rPr>
          <w:rFonts w:ascii="Times New Roman" w:hAnsi="Times New Roman"/>
          <w:sz w:val="20"/>
          <w:szCs w:val="20"/>
          <w:lang w:val="en-GB"/>
        </w:rPr>
        <w:t xml:space="preserve"> On the margin of appreciation doctrine at the </w:t>
      </w:r>
      <w:r w:rsidRPr="003D634E">
        <w:rPr>
          <w:rFonts w:ascii="Times New Roman" w:hAnsi="Times New Roman"/>
          <w:sz w:val="20"/>
          <w:szCs w:val="20"/>
          <w:lang w:val="en-GB"/>
        </w:rPr>
        <w:t>Court of Justice</w:t>
      </w:r>
      <w:r w:rsidRPr="00D73610">
        <w:rPr>
          <w:rFonts w:ascii="Times New Roman" w:hAnsi="Times New Roman"/>
          <w:sz w:val="20"/>
          <w:szCs w:val="20"/>
          <w:lang w:val="en-GB"/>
        </w:rPr>
        <w:t xml:space="preserve">, see </w:t>
      </w:r>
      <w:r w:rsidRPr="00D73610">
        <w:rPr>
          <w:rFonts w:ascii="Times New Roman" w:hAnsi="Times New Roman"/>
          <w:sz w:val="20"/>
          <w:szCs w:val="20"/>
          <w:lang w:val="en-GB" w:eastAsia="it-IT"/>
        </w:rPr>
        <w:t xml:space="preserve">Y. Shany, </w:t>
      </w:r>
      <w:r>
        <w:rPr>
          <w:rFonts w:ascii="Times New Roman" w:hAnsi="Times New Roman"/>
          <w:sz w:val="20"/>
          <w:szCs w:val="20"/>
          <w:lang w:val="en-GB" w:eastAsia="it-IT"/>
        </w:rPr>
        <w:t>‘</w:t>
      </w:r>
      <w:r w:rsidRPr="00D73610">
        <w:rPr>
          <w:rFonts w:ascii="Times New Roman" w:hAnsi="Times New Roman"/>
          <w:iCs/>
          <w:sz w:val="20"/>
          <w:szCs w:val="20"/>
          <w:lang w:val="en-GB" w:eastAsia="it-IT"/>
        </w:rPr>
        <w:t>Toward a General Margin of Appreciation Doctrine in International Law?</w:t>
      </w:r>
      <w:r>
        <w:rPr>
          <w:rFonts w:ascii="Times New Roman" w:hAnsi="Times New Roman"/>
          <w:iCs/>
          <w:sz w:val="20"/>
          <w:szCs w:val="20"/>
          <w:lang w:val="en-GB" w:eastAsia="it-IT"/>
        </w:rPr>
        <w:t>’</w:t>
      </w:r>
      <w:r w:rsidRPr="00D73610">
        <w:rPr>
          <w:rFonts w:ascii="Times New Roman" w:hAnsi="Times New Roman"/>
          <w:sz w:val="20"/>
          <w:szCs w:val="20"/>
          <w:lang w:val="en-GB" w:eastAsia="it-IT"/>
        </w:rPr>
        <w:t xml:space="preserve">, </w:t>
      </w:r>
      <w:r w:rsidRPr="00D73610">
        <w:rPr>
          <w:rFonts w:ascii="Times New Roman" w:hAnsi="Times New Roman"/>
          <w:i/>
          <w:iCs/>
          <w:sz w:val="20"/>
          <w:szCs w:val="20"/>
          <w:lang w:val="en-GB" w:eastAsia="it-IT"/>
        </w:rPr>
        <w:t>European Journal of International Law</w:t>
      </w:r>
      <w:r w:rsidRPr="00D73610">
        <w:rPr>
          <w:rFonts w:ascii="Times New Roman" w:hAnsi="Times New Roman"/>
          <w:sz w:val="20"/>
          <w:szCs w:val="20"/>
          <w:lang w:val="en-GB" w:eastAsia="it-IT"/>
        </w:rPr>
        <w:t>, 16/5, 2006, 907</w:t>
      </w:r>
      <w:r w:rsidRPr="00D73610">
        <w:rPr>
          <w:rFonts w:ascii="Times New Roman" w:hAnsi="Times New Roman"/>
          <w:sz w:val="20"/>
          <w:szCs w:val="20"/>
          <w:lang w:val="en-GB"/>
        </w:rPr>
        <w:t>–</w:t>
      </w:r>
      <w:r w:rsidRPr="00D73610">
        <w:rPr>
          <w:rFonts w:ascii="Times New Roman" w:hAnsi="Times New Roman"/>
          <w:sz w:val="20"/>
          <w:szCs w:val="20"/>
          <w:lang w:val="en-GB" w:eastAsia="it-IT"/>
        </w:rPr>
        <w:t xml:space="preserve">940, 927 ff.; J.A. Sweeney, </w:t>
      </w:r>
      <w:r>
        <w:rPr>
          <w:rFonts w:ascii="Times New Roman" w:hAnsi="Times New Roman"/>
          <w:sz w:val="20"/>
          <w:szCs w:val="20"/>
          <w:lang w:val="en-GB" w:eastAsia="it-IT"/>
        </w:rPr>
        <w:t>‘</w:t>
      </w:r>
      <w:r w:rsidRPr="00D73610">
        <w:rPr>
          <w:rFonts w:ascii="Times New Roman" w:hAnsi="Times New Roman"/>
          <w:iCs/>
          <w:sz w:val="20"/>
          <w:szCs w:val="20"/>
          <w:lang w:val="en-GB" w:eastAsia="it-IT"/>
        </w:rPr>
        <w:t xml:space="preserve">A </w:t>
      </w:r>
      <w:r>
        <w:rPr>
          <w:rFonts w:ascii="Times New Roman" w:hAnsi="Times New Roman"/>
          <w:iCs/>
          <w:sz w:val="20"/>
          <w:szCs w:val="20"/>
          <w:lang w:val="en-GB" w:eastAsia="it-IT"/>
        </w:rPr>
        <w:t>“</w:t>
      </w:r>
      <w:r w:rsidRPr="00D73610">
        <w:rPr>
          <w:rFonts w:ascii="Times New Roman" w:hAnsi="Times New Roman"/>
          <w:iCs/>
          <w:sz w:val="20"/>
          <w:szCs w:val="20"/>
          <w:lang w:val="en-GB" w:eastAsia="it-IT"/>
        </w:rPr>
        <w:t>Margin of Appreciation</w:t>
      </w:r>
      <w:r>
        <w:rPr>
          <w:rFonts w:ascii="Times New Roman" w:hAnsi="Times New Roman"/>
          <w:iCs/>
          <w:sz w:val="20"/>
          <w:szCs w:val="20"/>
          <w:lang w:val="en-GB" w:eastAsia="it-IT"/>
        </w:rPr>
        <w:t>”</w:t>
      </w:r>
      <w:r w:rsidRPr="00D73610">
        <w:rPr>
          <w:rFonts w:ascii="Times New Roman" w:hAnsi="Times New Roman"/>
          <w:iCs/>
          <w:sz w:val="20"/>
          <w:szCs w:val="20"/>
          <w:lang w:val="en-GB" w:eastAsia="it-IT"/>
        </w:rPr>
        <w:t xml:space="preserve"> in the Internal Market: Lessons from the European Court of Human Rights</w:t>
      </w:r>
      <w:r>
        <w:rPr>
          <w:rFonts w:ascii="Times New Roman" w:hAnsi="Times New Roman"/>
          <w:iCs/>
          <w:sz w:val="20"/>
          <w:szCs w:val="20"/>
          <w:lang w:val="en-GB" w:eastAsia="it-IT"/>
        </w:rPr>
        <w:t>’</w:t>
      </w:r>
      <w:r w:rsidRPr="00D73610">
        <w:rPr>
          <w:rFonts w:ascii="Times New Roman" w:hAnsi="Times New Roman"/>
          <w:sz w:val="20"/>
          <w:szCs w:val="20"/>
          <w:lang w:val="en-GB" w:eastAsia="it-IT"/>
        </w:rPr>
        <w:t xml:space="preserve">, </w:t>
      </w:r>
      <w:r w:rsidRPr="00D73610">
        <w:rPr>
          <w:rFonts w:ascii="Times New Roman" w:hAnsi="Times New Roman"/>
          <w:i/>
          <w:sz w:val="20"/>
          <w:szCs w:val="20"/>
          <w:lang w:val="en-GB" w:eastAsia="it-IT"/>
        </w:rPr>
        <w:t>Legal Issues of Economic Integration</w:t>
      </w:r>
      <w:r w:rsidRPr="00D73610">
        <w:rPr>
          <w:rFonts w:ascii="Times New Roman" w:hAnsi="Times New Roman"/>
          <w:sz w:val="20"/>
          <w:szCs w:val="20"/>
          <w:lang w:val="en-GB" w:eastAsia="it-IT"/>
        </w:rPr>
        <w:t>, 34/1, 2007, 27</w:t>
      </w:r>
      <w:r w:rsidRPr="00D73610">
        <w:rPr>
          <w:rFonts w:ascii="Times New Roman" w:hAnsi="Times New Roman"/>
          <w:sz w:val="20"/>
          <w:szCs w:val="20"/>
          <w:lang w:val="en-GB"/>
        </w:rPr>
        <w:t>–</w:t>
      </w:r>
      <w:r w:rsidRPr="00D73610">
        <w:rPr>
          <w:rFonts w:ascii="Times New Roman" w:hAnsi="Times New Roman"/>
          <w:sz w:val="20"/>
          <w:szCs w:val="20"/>
          <w:lang w:val="en-GB" w:eastAsia="it-IT"/>
        </w:rPr>
        <w:t xml:space="preserve">52; </w:t>
      </w:r>
      <w:r w:rsidRPr="00D73610">
        <w:rPr>
          <w:rFonts w:ascii="Times New Roman" w:hAnsi="Times New Roman"/>
          <w:sz w:val="20"/>
          <w:szCs w:val="20"/>
          <w:lang w:val="en-GB"/>
        </w:rPr>
        <w:t xml:space="preserve">J. Gerards, </w:t>
      </w:r>
      <w:r>
        <w:rPr>
          <w:rFonts w:ascii="Times New Roman" w:hAnsi="Times New Roman"/>
          <w:sz w:val="20"/>
          <w:szCs w:val="20"/>
          <w:lang w:val="en-GB"/>
        </w:rPr>
        <w:t>‘</w:t>
      </w:r>
      <w:r w:rsidRPr="00D73610">
        <w:rPr>
          <w:rFonts w:ascii="Times New Roman" w:hAnsi="Times New Roman"/>
          <w:iCs/>
          <w:sz w:val="20"/>
          <w:szCs w:val="20"/>
          <w:lang w:val="en-GB"/>
        </w:rPr>
        <w:t>Pluralism, Deference and the Margin of Appreciation Doctrine</w:t>
      </w:r>
      <w:r>
        <w:rPr>
          <w:rFonts w:ascii="Times New Roman" w:hAnsi="Times New Roman"/>
          <w:iCs/>
          <w:sz w:val="20"/>
          <w:szCs w:val="20"/>
          <w:lang w:val="en-GB"/>
        </w:rPr>
        <w:t>’</w:t>
      </w:r>
      <w:r w:rsidRPr="00D73610">
        <w:rPr>
          <w:rFonts w:ascii="Times New Roman" w:hAnsi="Times New Roman"/>
          <w:sz w:val="20"/>
          <w:szCs w:val="20"/>
          <w:lang w:val="en-GB"/>
        </w:rPr>
        <w:t xml:space="preserve">, </w:t>
      </w:r>
      <w:r w:rsidRPr="00D73610">
        <w:rPr>
          <w:rFonts w:ascii="Times New Roman" w:hAnsi="Times New Roman"/>
          <w:i/>
          <w:iCs/>
          <w:sz w:val="20"/>
          <w:szCs w:val="20"/>
          <w:lang w:val="en-GB"/>
        </w:rPr>
        <w:t>European Law Journal</w:t>
      </w:r>
      <w:r w:rsidRPr="00D73610">
        <w:rPr>
          <w:rFonts w:ascii="Times New Roman" w:hAnsi="Times New Roman"/>
          <w:sz w:val="20"/>
          <w:szCs w:val="20"/>
          <w:lang w:val="en-GB"/>
        </w:rPr>
        <w:t>, 17/1, 2011, 80–120, 89 ff.</w:t>
      </w:r>
    </w:p>
  </w:footnote>
  <w:footnote w:id="113">
    <w:p w:rsidR="005E6612" w:rsidRDefault="005E6612" w:rsidP="00B27D8E">
      <w:pPr>
        <w:pStyle w:val="Testonotaapidipagina"/>
        <w:jc w:val="both"/>
      </w:pPr>
      <w:r w:rsidRPr="00D73610">
        <w:rPr>
          <w:rStyle w:val="Rimandonotaapidipagina"/>
          <w:rFonts w:ascii="Times New Roman" w:hAnsi="Times New Roman"/>
          <w:lang w:val="en-GB"/>
        </w:rPr>
        <w:footnoteRef/>
      </w:r>
      <w:r w:rsidRPr="00C13CDF">
        <w:rPr>
          <w:rFonts w:ascii="Times New Roman" w:hAnsi="Times New Roman"/>
        </w:rPr>
        <w:t xml:space="preserve"> </w:t>
      </w:r>
      <w:r w:rsidRPr="00C13CDF">
        <w:rPr>
          <w:rFonts w:ascii="Times New Roman" w:hAnsi="Times New Roman"/>
          <w:iCs/>
        </w:rPr>
        <w:t xml:space="preserve">Case C-83/94, </w:t>
      </w:r>
      <w:r w:rsidRPr="00C13CDF">
        <w:rPr>
          <w:rFonts w:ascii="Times New Roman" w:hAnsi="Times New Roman"/>
          <w:i/>
          <w:iCs/>
        </w:rPr>
        <w:t xml:space="preserve">Leifer </w:t>
      </w:r>
      <w:r w:rsidRPr="00C13CDF">
        <w:rPr>
          <w:rFonts w:ascii="Times New Roman" w:hAnsi="Times New Roman"/>
          <w:iCs/>
        </w:rPr>
        <w:t xml:space="preserve">[1995] ECR I-3231, para. </w:t>
      </w:r>
      <w:r w:rsidRPr="00CD0778">
        <w:rPr>
          <w:rFonts w:ascii="Times New Roman" w:hAnsi="Times New Roman"/>
          <w:iCs/>
          <w:lang w:val="es-ES"/>
        </w:rPr>
        <w:t xml:space="preserve">35; Case C-273/97, </w:t>
      </w:r>
      <w:r w:rsidRPr="00CD0778">
        <w:rPr>
          <w:rFonts w:ascii="Times New Roman" w:hAnsi="Times New Roman"/>
          <w:i/>
          <w:iCs/>
          <w:lang w:val="es-ES"/>
        </w:rPr>
        <w:t xml:space="preserve">Sirdar </w:t>
      </w:r>
      <w:r w:rsidRPr="00CD0778">
        <w:rPr>
          <w:rFonts w:ascii="Times New Roman" w:hAnsi="Times New Roman"/>
          <w:iCs/>
          <w:lang w:val="es-ES"/>
        </w:rPr>
        <w:t xml:space="preserve">[1999] ECR 7403, para. </w:t>
      </w:r>
      <w:r w:rsidRPr="007945B9">
        <w:rPr>
          <w:rFonts w:ascii="Times New Roman" w:hAnsi="Times New Roman"/>
          <w:iCs/>
          <w:lang w:val="es-ES"/>
        </w:rPr>
        <w:t xml:space="preserve">27; Case C-285/98, </w:t>
      </w:r>
      <w:r w:rsidRPr="007945B9">
        <w:rPr>
          <w:rFonts w:ascii="Times New Roman" w:hAnsi="Times New Roman"/>
          <w:i/>
          <w:iCs/>
          <w:lang w:val="es-ES"/>
        </w:rPr>
        <w:t xml:space="preserve">Tanja Kreil </w:t>
      </w:r>
      <w:r w:rsidRPr="007945B9">
        <w:rPr>
          <w:rFonts w:ascii="Times New Roman" w:hAnsi="Times New Roman"/>
          <w:iCs/>
          <w:lang w:val="es-ES"/>
        </w:rPr>
        <w:t>[2000] ECR I-69, para. 24.</w:t>
      </w:r>
    </w:p>
  </w:footnote>
  <w:footnote w:id="114">
    <w:p w:rsidR="005E6612" w:rsidRDefault="005E6612" w:rsidP="00B27D8E">
      <w:pPr>
        <w:spacing w:after="0" w:line="240" w:lineRule="auto"/>
        <w:jc w:val="both"/>
      </w:pPr>
      <w:r w:rsidRPr="00D73610">
        <w:rPr>
          <w:rStyle w:val="Rimandonotaapidipagina"/>
          <w:rFonts w:ascii="Times New Roman" w:hAnsi="Times New Roman"/>
          <w:sz w:val="20"/>
          <w:szCs w:val="20"/>
          <w:lang w:val="en-GB"/>
        </w:rPr>
        <w:footnoteRef/>
      </w:r>
      <w:r w:rsidRPr="007945B9">
        <w:rPr>
          <w:rFonts w:ascii="Times New Roman" w:hAnsi="Times New Roman"/>
          <w:sz w:val="20"/>
          <w:szCs w:val="20"/>
          <w:lang w:val="es-ES"/>
        </w:rPr>
        <w:t xml:space="preserve"> </w:t>
      </w:r>
      <w:r w:rsidRPr="007945B9">
        <w:rPr>
          <w:rFonts w:ascii="Times New Roman" w:hAnsi="Times New Roman"/>
          <w:i/>
          <w:iCs/>
          <w:sz w:val="20"/>
          <w:szCs w:val="20"/>
          <w:lang w:val="es-ES" w:eastAsia="it-IT"/>
        </w:rPr>
        <w:t xml:space="preserve">Van Duyn </w:t>
      </w:r>
      <w:r w:rsidRPr="007945B9">
        <w:rPr>
          <w:rFonts w:ascii="Times New Roman" w:hAnsi="Times New Roman"/>
          <w:iCs/>
          <w:sz w:val="20"/>
          <w:szCs w:val="20"/>
          <w:lang w:val="es-ES" w:eastAsia="it-IT"/>
        </w:rPr>
        <w:t xml:space="preserve">[1974], para. </w:t>
      </w:r>
      <w:r w:rsidRPr="007945B9">
        <w:rPr>
          <w:rFonts w:ascii="Times New Roman" w:hAnsi="Times New Roman"/>
          <w:iCs/>
          <w:sz w:val="20"/>
          <w:szCs w:val="20"/>
          <w:lang w:val="en-GB" w:eastAsia="it-IT"/>
        </w:rPr>
        <w:t>18</w:t>
      </w:r>
      <w:r w:rsidRPr="007945B9">
        <w:rPr>
          <w:rFonts w:ascii="Times New Roman" w:hAnsi="Times New Roman"/>
          <w:iCs/>
          <w:sz w:val="20"/>
          <w:szCs w:val="20"/>
          <w:lang w:val="en-GB"/>
        </w:rPr>
        <w:t xml:space="preserve">; Case C-30/77, </w:t>
      </w:r>
      <w:r w:rsidRPr="007945B9">
        <w:rPr>
          <w:rFonts w:ascii="Times New Roman" w:hAnsi="Times New Roman"/>
          <w:i/>
          <w:iCs/>
          <w:sz w:val="20"/>
          <w:szCs w:val="20"/>
          <w:lang w:val="en-GB"/>
        </w:rPr>
        <w:t xml:space="preserve">R </w:t>
      </w:r>
      <w:r w:rsidRPr="007945B9">
        <w:rPr>
          <w:rFonts w:ascii="Times New Roman" w:hAnsi="Times New Roman"/>
          <w:iCs/>
          <w:sz w:val="20"/>
          <w:szCs w:val="20"/>
          <w:lang w:val="en-GB"/>
        </w:rPr>
        <w:t>v</w:t>
      </w:r>
      <w:r w:rsidRPr="007945B9">
        <w:rPr>
          <w:rFonts w:ascii="Times New Roman" w:hAnsi="Times New Roman"/>
          <w:i/>
          <w:iCs/>
          <w:sz w:val="20"/>
          <w:szCs w:val="20"/>
          <w:lang w:val="en-GB"/>
        </w:rPr>
        <w:t xml:space="preserve"> Pierre </w:t>
      </w:r>
      <w:r w:rsidRPr="007945B9">
        <w:rPr>
          <w:rFonts w:ascii="Times New Roman" w:hAnsi="Times New Roman"/>
          <w:i/>
          <w:iCs/>
          <w:sz w:val="20"/>
          <w:szCs w:val="20"/>
          <w:lang w:val="en-GB" w:eastAsia="it-IT"/>
        </w:rPr>
        <w:t xml:space="preserve">Bouchereau </w:t>
      </w:r>
      <w:r w:rsidRPr="007945B9">
        <w:rPr>
          <w:rFonts w:ascii="Times New Roman" w:hAnsi="Times New Roman"/>
          <w:iCs/>
          <w:sz w:val="20"/>
          <w:szCs w:val="20"/>
          <w:lang w:val="en-GB" w:eastAsia="it-IT"/>
        </w:rPr>
        <w:t xml:space="preserve">[1977] ECR 1999, para. </w:t>
      </w:r>
      <w:r w:rsidRPr="007945B9">
        <w:rPr>
          <w:rFonts w:ascii="Times New Roman" w:hAnsi="Times New Roman"/>
          <w:iCs/>
          <w:sz w:val="20"/>
          <w:szCs w:val="20"/>
          <w:lang w:val="es-ES" w:eastAsia="it-IT"/>
        </w:rPr>
        <w:t xml:space="preserve">34; </w:t>
      </w:r>
      <w:r w:rsidRPr="00D0511B">
        <w:rPr>
          <w:rFonts w:ascii="Times New Roman" w:hAnsi="Times New Roman"/>
          <w:i/>
          <w:iCs/>
          <w:sz w:val="20"/>
          <w:szCs w:val="20"/>
          <w:lang w:val="es-ES"/>
        </w:rPr>
        <w:t xml:space="preserve">Omega </w:t>
      </w:r>
      <w:r w:rsidRPr="00D0511B">
        <w:rPr>
          <w:rFonts w:ascii="Times New Roman" w:hAnsi="Times New Roman"/>
          <w:iCs/>
          <w:sz w:val="20"/>
          <w:szCs w:val="20"/>
          <w:lang w:val="es-ES"/>
        </w:rPr>
        <w:t>[2004], para. 31.</w:t>
      </w:r>
    </w:p>
  </w:footnote>
  <w:footnote w:id="115">
    <w:p w:rsidR="005E6612" w:rsidRDefault="005E6612" w:rsidP="00B27D8E">
      <w:pPr>
        <w:pStyle w:val="Testonotaapidipagina"/>
        <w:jc w:val="both"/>
      </w:pPr>
      <w:r w:rsidRPr="00D73610">
        <w:rPr>
          <w:rStyle w:val="Rimandonotaapidipagina"/>
          <w:rFonts w:ascii="Times New Roman" w:hAnsi="Times New Roman"/>
          <w:lang w:val="en-GB"/>
        </w:rPr>
        <w:footnoteRef/>
      </w:r>
      <w:r w:rsidRPr="007945B9">
        <w:rPr>
          <w:rFonts w:ascii="Times New Roman" w:hAnsi="Times New Roman"/>
          <w:lang w:val="es-ES"/>
        </w:rPr>
        <w:t xml:space="preserve"> </w:t>
      </w:r>
      <w:r w:rsidRPr="007945B9">
        <w:rPr>
          <w:rFonts w:ascii="Times New Roman" w:hAnsi="Times New Roman"/>
          <w:iCs/>
          <w:lang w:val="es-ES"/>
        </w:rPr>
        <w:t xml:space="preserve">Case C-34/79, </w:t>
      </w:r>
      <w:r w:rsidRPr="007945B9">
        <w:rPr>
          <w:rFonts w:ascii="Times New Roman" w:hAnsi="Times New Roman"/>
          <w:i/>
          <w:iCs/>
          <w:lang w:val="es-ES"/>
        </w:rPr>
        <w:t xml:space="preserve">R </w:t>
      </w:r>
      <w:r w:rsidRPr="007945B9">
        <w:rPr>
          <w:rFonts w:ascii="Times New Roman" w:hAnsi="Times New Roman"/>
          <w:iCs/>
          <w:lang w:val="es-ES"/>
        </w:rPr>
        <w:t xml:space="preserve">v </w:t>
      </w:r>
      <w:r w:rsidRPr="007945B9">
        <w:rPr>
          <w:rFonts w:ascii="Times New Roman" w:hAnsi="Times New Roman"/>
          <w:i/>
          <w:iCs/>
          <w:lang w:val="es-ES"/>
        </w:rPr>
        <w:t xml:space="preserve">Henn &amp; Darby </w:t>
      </w:r>
      <w:r w:rsidRPr="007945B9">
        <w:rPr>
          <w:rFonts w:ascii="Times New Roman" w:hAnsi="Times New Roman"/>
          <w:iCs/>
          <w:lang w:val="es-ES"/>
        </w:rPr>
        <w:t xml:space="preserve">[1979] ECR 3795, para. </w:t>
      </w:r>
      <w:r w:rsidRPr="00D73610">
        <w:rPr>
          <w:rFonts w:ascii="Times New Roman" w:hAnsi="Times New Roman"/>
          <w:iCs/>
          <w:lang w:val="en-GB"/>
        </w:rPr>
        <w:t>15</w:t>
      </w:r>
      <w:r w:rsidRPr="00D73610">
        <w:rPr>
          <w:rFonts w:ascii="Times New Roman" w:hAnsi="Times New Roman"/>
          <w:lang w:val="en-GB"/>
        </w:rPr>
        <w:t>.</w:t>
      </w:r>
    </w:p>
  </w:footnote>
  <w:footnote w:id="116">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iCs/>
          <w:lang w:val="en-GB"/>
        </w:rPr>
        <w:t xml:space="preserve"> Case C-141/07 </w:t>
      </w:r>
      <w:r w:rsidRPr="00D73610">
        <w:rPr>
          <w:rFonts w:ascii="Times New Roman" w:hAnsi="Times New Roman"/>
          <w:i/>
          <w:iCs/>
          <w:lang w:val="en-GB"/>
        </w:rPr>
        <w:t>Commission</w:t>
      </w:r>
      <w:r w:rsidRPr="00D73610">
        <w:rPr>
          <w:rFonts w:ascii="Times New Roman" w:hAnsi="Times New Roman"/>
          <w:iCs/>
          <w:lang w:val="en-GB"/>
        </w:rPr>
        <w:t xml:space="preserve"> v </w:t>
      </w:r>
      <w:r w:rsidRPr="00D73610">
        <w:rPr>
          <w:rFonts w:ascii="Times New Roman" w:hAnsi="Times New Roman"/>
          <w:i/>
          <w:iCs/>
          <w:lang w:val="en-GB"/>
        </w:rPr>
        <w:t>Germany</w:t>
      </w:r>
      <w:r w:rsidRPr="00D73610">
        <w:rPr>
          <w:rFonts w:ascii="Times New Roman" w:hAnsi="Times New Roman"/>
          <w:iCs/>
          <w:lang w:val="en-GB"/>
        </w:rPr>
        <w:t xml:space="preserve"> [2008] ECR I-6935, </w:t>
      </w:r>
      <w:r>
        <w:rPr>
          <w:rFonts w:ascii="Times New Roman" w:hAnsi="Times New Roman"/>
          <w:iCs/>
          <w:lang w:val="en-GB"/>
        </w:rPr>
        <w:t>para.</w:t>
      </w:r>
      <w:r w:rsidRPr="00D73610">
        <w:rPr>
          <w:rFonts w:ascii="Times New Roman" w:hAnsi="Times New Roman"/>
          <w:iCs/>
          <w:lang w:val="en-GB"/>
        </w:rPr>
        <w:t xml:space="preserve"> 51; Case C</w:t>
      </w:r>
      <w:r w:rsidRPr="00D73610">
        <w:rPr>
          <w:rFonts w:ascii="Times New Roman" w:hAnsi="Times New Roman"/>
          <w:iCs/>
          <w:lang w:val="en-GB"/>
        </w:rPr>
        <w:noBreakHyphen/>
        <w:t xml:space="preserve">84/11, </w:t>
      </w:r>
      <w:r w:rsidRPr="00D73610">
        <w:rPr>
          <w:rFonts w:ascii="Times New Roman" w:hAnsi="Times New Roman"/>
          <w:i/>
          <w:iCs/>
          <w:lang w:val="en-GB"/>
        </w:rPr>
        <w:t xml:space="preserve">Susisalo </w:t>
      </w:r>
      <w:r w:rsidRPr="00D73610">
        <w:rPr>
          <w:rFonts w:ascii="Times New Roman" w:hAnsi="Times New Roman"/>
          <w:iCs/>
          <w:lang w:val="en-GB"/>
        </w:rPr>
        <w:t xml:space="preserve">[2012], not yet published, </w:t>
      </w:r>
      <w:r>
        <w:rPr>
          <w:rFonts w:ascii="Times New Roman" w:hAnsi="Times New Roman"/>
          <w:iCs/>
          <w:lang w:val="en-GB"/>
        </w:rPr>
        <w:t>para.</w:t>
      </w:r>
      <w:r w:rsidRPr="00D73610">
        <w:rPr>
          <w:rFonts w:ascii="Times New Roman" w:hAnsi="Times New Roman"/>
          <w:iCs/>
          <w:lang w:val="en-GB"/>
        </w:rPr>
        <w:t xml:space="preserve"> 28. For this line of reasoning, see already Case C-322/01 </w:t>
      </w:r>
      <w:r w:rsidRPr="00D73610">
        <w:rPr>
          <w:rFonts w:ascii="Times New Roman" w:hAnsi="Times New Roman"/>
          <w:i/>
          <w:iCs/>
          <w:lang w:val="en-GB"/>
        </w:rPr>
        <w:t>Deutscher Apothekerverband</w:t>
      </w:r>
      <w:r w:rsidRPr="00D73610">
        <w:rPr>
          <w:rFonts w:ascii="Times New Roman" w:hAnsi="Times New Roman"/>
          <w:iCs/>
          <w:lang w:val="en-GB"/>
        </w:rPr>
        <w:t xml:space="preserve"> [2003] ECR I-14887, </w:t>
      </w:r>
      <w:r>
        <w:rPr>
          <w:rFonts w:ascii="Times New Roman" w:hAnsi="Times New Roman"/>
          <w:iCs/>
          <w:lang w:val="en-GB"/>
        </w:rPr>
        <w:t>para.</w:t>
      </w:r>
      <w:r w:rsidRPr="00D73610">
        <w:rPr>
          <w:rFonts w:ascii="Times New Roman" w:hAnsi="Times New Roman"/>
          <w:iCs/>
          <w:lang w:val="en-GB"/>
        </w:rPr>
        <w:t xml:space="preserve"> </w:t>
      </w:r>
      <w:r w:rsidRPr="007945B9">
        <w:rPr>
          <w:rFonts w:ascii="Times New Roman" w:hAnsi="Times New Roman"/>
          <w:iCs/>
          <w:lang w:val="es-ES"/>
        </w:rPr>
        <w:t>103.</w:t>
      </w:r>
    </w:p>
  </w:footnote>
  <w:footnote w:id="117">
    <w:p w:rsidR="005E6612" w:rsidRDefault="005E6612" w:rsidP="00B27D8E">
      <w:pPr>
        <w:pStyle w:val="Testonotaapidipagina"/>
        <w:jc w:val="both"/>
      </w:pPr>
      <w:r w:rsidRPr="00D73610">
        <w:rPr>
          <w:rStyle w:val="Rimandonotaapidipagina"/>
          <w:rFonts w:ascii="Times New Roman" w:hAnsi="Times New Roman"/>
          <w:lang w:val="en-GB"/>
        </w:rPr>
        <w:footnoteRef/>
      </w:r>
      <w:r w:rsidRPr="007945B9">
        <w:rPr>
          <w:rFonts w:ascii="Times New Roman" w:hAnsi="Times New Roman"/>
          <w:lang w:val="es-ES"/>
        </w:rPr>
        <w:t xml:space="preserve"> </w:t>
      </w:r>
      <w:r w:rsidRPr="00D0511B">
        <w:rPr>
          <w:rFonts w:ascii="Times New Roman" w:hAnsi="Times New Roman"/>
          <w:i/>
          <w:iCs/>
          <w:lang w:val="es-ES"/>
        </w:rPr>
        <w:t xml:space="preserve">Schmidberger </w:t>
      </w:r>
      <w:r w:rsidRPr="00D0511B">
        <w:rPr>
          <w:rFonts w:ascii="Times New Roman" w:hAnsi="Times New Roman"/>
          <w:lang w:val="es-ES"/>
        </w:rPr>
        <w:t>[2003],</w:t>
      </w:r>
      <w:r w:rsidRPr="00D0511B">
        <w:rPr>
          <w:rFonts w:ascii="Times New Roman" w:hAnsi="Times New Roman"/>
          <w:iCs/>
          <w:lang w:val="es-ES"/>
        </w:rPr>
        <w:t xml:space="preserve"> para. 82 and 89</w:t>
      </w:r>
      <w:r w:rsidRPr="00D0511B">
        <w:rPr>
          <w:rFonts w:ascii="Times New Roman" w:hAnsi="Times New Roman"/>
          <w:lang w:val="es-ES"/>
        </w:rPr>
        <w:t>.</w:t>
      </w:r>
    </w:p>
  </w:footnote>
  <w:footnote w:id="118">
    <w:p w:rsidR="005E6612" w:rsidRDefault="005E6612" w:rsidP="00B27D8E">
      <w:pPr>
        <w:pStyle w:val="Testonotaapidipagina"/>
        <w:jc w:val="both"/>
      </w:pPr>
      <w:r w:rsidRPr="00D73610">
        <w:rPr>
          <w:rStyle w:val="Rimandonotaapidipagina"/>
          <w:rFonts w:ascii="Times New Roman" w:hAnsi="Times New Roman"/>
          <w:lang w:val="en-GB"/>
        </w:rPr>
        <w:footnoteRef/>
      </w:r>
      <w:r w:rsidRPr="00CD0778">
        <w:rPr>
          <w:rFonts w:ascii="Times New Roman" w:hAnsi="Times New Roman"/>
          <w:lang w:val="es-ES"/>
        </w:rPr>
        <w:t xml:space="preserve"> </w:t>
      </w:r>
      <w:r w:rsidRPr="00CD0778">
        <w:rPr>
          <w:rFonts w:ascii="Times New Roman" w:hAnsi="Times New Roman"/>
          <w:i/>
          <w:lang w:val="es-ES"/>
        </w:rPr>
        <w:t>Van Gend en Loos</w:t>
      </w:r>
      <w:r w:rsidRPr="00CD0778">
        <w:rPr>
          <w:rFonts w:ascii="Times New Roman" w:hAnsi="Times New Roman"/>
          <w:lang w:val="es-ES"/>
        </w:rPr>
        <w:t xml:space="preserve"> [1963], 12; </w:t>
      </w:r>
      <w:r w:rsidRPr="00CD0778">
        <w:rPr>
          <w:rFonts w:ascii="Times New Roman" w:hAnsi="Times New Roman"/>
          <w:i/>
          <w:iCs/>
          <w:lang w:val="es-ES"/>
        </w:rPr>
        <w:t xml:space="preserve">Costa </w:t>
      </w:r>
      <w:r w:rsidRPr="00CD0778">
        <w:rPr>
          <w:rFonts w:ascii="Times New Roman" w:hAnsi="Times New Roman"/>
          <w:lang w:val="es-ES"/>
        </w:rPr>
        <w:t xml:space="preserve">[1964], 593. </w:t>
      </w:r>
      <w:r w:rsidRPr="00D73610">
        <w:rPr>
          <w:rFonts w:ascii="Times New Roman" w:hAnsi="Times New Roman"/>
          <w:lang w:val="en-GB"/>
        </w:rPr>
        <w:t xml:space="preserve">See also Case C-17/67, </w:t>
      </w:r>
      <w:r w:rsidRPr="00D73610">
        <w:rPr>
          <w:rFonts w:ascii="Times New Roman" w:hAnsi="Times New Roman"/>
          <w:i/>
          <w:lang w:val="en-GB"/>
        </w:rPr>
        <w:t>Neumann</w:t>
      </w:r>
      <w:r w:rsidRPr="00D73610">
        <w:rPr>
          <w:rFonts w:ascii="Times New Roman" w:hAnsi="Times New Roman"/>
          <w:lang w:val="en-GB"/>
        </w:rPr>
        <w:t xml:space="preserve"> [1967] ECR 441, 453; Case C-28/67, </w:t>
      </w:r>
      <w:r w:rsidRPr="00D73610">
        <w:rPr>
          <w:rFonts w:ascii="Times New Roman" w:hAnsi="Times New Roman"/>
          <w:i/>
          <w:lang w:val="en-GB"/>
        </w:rPr>
        <w:t>Molkerei</w:t>
      </w:r>
      <w:r w:rsidRPr="00D73610">
        <w:rPr>
          <w:rFonts w:ascii="Times New Roman" w:hAnsi="Times New Roman"/>
          <w:lang w:val="en-GB"/>
        </w:rPr>
        <w:t xml:space="preserve"> [1968] ECR 143, 152; Case C-48/71, </w:t>
      </w:r>
      <w:r w:rsidRPr="00D73610">
        <w:rPr>
          <w:rFonts w:ascii="Times New Roman" w:hAnsi="Times New Roman"/>
          <w:i/>
          <w:lang w:val="en-GB"/>
        </w:rPr>
        <w:t>Commission</w:t>
      </w:r>
      <w:r w:rsidRPr="00D73610">
        <w:rPr>
          <w:rFonts w:ascii="Times New Roman" w:hAnsi="Times New Roman"/>
          <w:iCs/>
          <w:lang w:val="en-GB"/>
        </w:rPr>
        <w:t xml:space="preserve"> v </w:t>
      </w:r>
      <w:r w:rsidRPr="00D73610">
        <w:rPr>
          <w:rFonts w:ascii="Times New Roman" w:hAnsi="Times New Roman"/>
          <w:i/>
          <w:lang w:val="en-GB"/>
        </w:rPr>
        <w:t>Italy</w:t>
      </w:r>
      <w:r w:rsidRPr="00D73610">
        <w:rPr>
          <w:rFonts w:ascii="Times New Roman" w:hAnsi="Times New Roman"/>
          <w:lang w:val="en-GB"/>
        </w:rPr>
        <w:t xml:space="preserve"> [1972], ECR 529, </w:t>
      </w:r>
      <w:r>
        <w:rPr>
          <w:rFonts w:ascii="Times New Roman" w:hAnsi="Times New Roman"/>
          <w:lang w:val="en-GB"/>
        </w:rPr>
        <w:t>para.</w:t>
      </w:r>
      <w:r w:rsidRPr="00D73610">
        <w:rPr>
          <w:rFonts w:ascii="Times New Roman" w:hAnsi="Times New Roman"/>
          <w:lang w:val="en-GB"/>
        </w:rPr>
        <w:t xml:space="preserve"> 9.</w:t>
      </w:r>
    </w:p>
  </w:footnote>
  <w:footnote w:id="119">
    <w:p w:rsidR="005E6612" w:rsidRDefault="005E6612" w:rsidP="009D2134">
      <w:pPr>
        <w:pStyle w:val="Testonotaapidipagina"/>
        <w:jc w:val="both"/>
      </w:pPr>
      <w:r w:rsidRPr="009D2134">
        <w:rPr>
          <w:rStyle w:val="Rimandonotaapidipagina"/>
          <w:rFonts w:ascii="Times New Roman" w:hAnsi="Times New Roman"/>
          <w:lang w:val="en-GB"/>
        </w:rPr>
        <w:footnoteRef/>
      </w:r>
      <w:r w:rsidRPr="009D2134">
        <w:rPr>
          <w:rFonts w:ascii="Times New Roman" w:hAnsi="Times New Roman"/>
          <w:lang w:val="en-GB"/>
        </w:rPr>
        <w:t xml:space="preserve"> </w:t>
      </w:r>
      <w:r w:rsidRPr="009D2134">
        <w:rPr>
          <w:rFonts w:ascii="Times New Roman" w:hAnsi="Times New Roman"/>
          <w:i/>
          <w:lang w:val="en-GB"/>
        </w:rPr>
        <w:t>Van Gend en Loos</w:t>
      </w:r>
      <w:r w:rsidRPr="009D2134">
        <w:rPr>
          <w:rFonts w:ascii="Times New Roman" w:hAnsi="Times New Roman"/>
          <w:lang w:val="en-GB"/>
        </w:rPr>
        <w:t xml:space="preserve"> [1963], 12; </w:t>
      </w:r>
      <w:r w:rsidRPr="009D2134">
        <w:rPr>
          <w:rFonts w:ascii="Times New Roman" w:hAnsi="Times New Roman"/>
          <w:i/>
          <w:iCs/>
          <w:lang w:val="en-GB"/>
        </w:rPr>
        <w:t xml:space="preserve">Costa </w:t>
      </w:r>
      <w:r w:rsidRPr="009D2134">
        <w:rPr>
          <w:rFonts w:ascii="Times New Roman" w:hAnsi="Times New Roman"/>
          <w:lang w:val="en-GB"/>
        </w:rPr>
        <w:t>[1964], 593; Opinion 1/91 [</w:t>
      </w:r>
      <w:r w:rsidRPr="009D2134">
        <w:rPr>
          <w:rFonts w:ascii="Times New Roman" w:hAnsi="Times New Roman"/>
          <w:bCs/>
          <w:lang w:val="en-GB"/>
        </w:rPr>
        <w:t>1991], para. 21. See also Opinion 1/09 [2011] ECR I-0000, para. 65</w:t>
      </w:r>
      <w:r w:rsidRPr="009D2134">
        <w:rPr>
          <w:rFonts w:ascii="Times New Roman" w:hAnsi="Times New Roman"/>
          <w:lang w:val="en-GB"/>
        </w:rPr>
        <w:t>. The concept of limitation of sovereignty is occasionally employed by the General Court.</w:t>
      </w:r>
    </w:p>
  </w:footnote>
  <w:footnote w:id="120">
    <w:p w:rsidR="005E6612" w:rsidRDefault="005E6612" w:rsidP="009D2134">
      <w:pPr>
        <w:pStyle w:val="Testonotaapidipagina"/>
        <w:jc w:val="both"/>
      </w:pPr>
      <w:r w:rsidRPr="009D2134">
        <w:rPr>
          <w:rStyle w:val="Rimandonotaapidipagina"/>
          <w:rFonts w:ascii="Times New Roman" w:hAnsi="Times New Roman"/>
          <w:lang w:val="en-GB"/>
        </w:rPr>
        <w:footnoteRef/>
      </w:r>
      <w:r w:rsidRPr="009D2134">
        <w:rPr>
          <w:rFonts w:ascii="Times New Roman" w:hAnsi="Times New Roman"/>
          <w:lang w:val="en-GB"/>
        </w:rPr>
        <w:t xml:space="preserve"> For a case – not included in the Sample – that deals with the concept of national identity ex Article 4(2) TEU, see Case </w:t>
      </w:r>
      <w:r w:rsidRPr="009D2134">
        <w:rPr>
          <w:rStyle w:val="affairetitle"/>
          <w:rFonts w:ascii="Times New Roman" w:hAnsi="Times New Roman"/>
          <w:lang w:val="en-GB"/>
        </w:rPr>
        <w:t xml:space="preserve">C-208/09, Sayn-Wittgenstein [2010] ECR </w:t>
      </w:r>
      <w:r w:rsidRPr="009D2134">
        <w:rPr>
          <w:rFonts w:ascii="Times New Roman" w:hAnsi="Times New Roman"/>
          <w:lang w:val="en-GB"/>
        </w:rPr>
        <w:t>I-13693, para. 83. See also Case C</w:t>
      </w:r>
      <w:r w:rsidRPr="009D2134">
        <w:rPr>
          <w:rFonts w:ascii="Times New Roman" w:hAnsi="Times New Roman"/>
          <w:lang w:val="en-GB"/>
        </w:rPr>
        <w:noBreakHyphen/>
        <w:t xml:space="preserve">473/93 </w:t>
      </w:r>
      <w:r w:rsidRPr="009D2134">
        <w:rPr>
          <w:rFonts w:ascii="Times New Roman" w:hAnsi="Times New Roman"/>
          <w:i/>
          <w:iCs/>
          <w:lang w:val="en-GB"/>
        </w:rPr>
        <w:t>Commission</w:t>
      </w:r>
      <w:r w:rsidRPr="009D2134">
        <w:rPr>
          <w:rFonts w:ascii="Times New Roman" w:hAnsi="Times New Roman"/>
          <w:lang w:val="en-GB"/>
        </w:rPr>
        <w:t xml:space="preserve"> v </w:t>
      </w:r>
      <w:r w:rsidRPr="009D2134">
        <w:rPr>
          <w:rFonts w:ascii="Times New Roman" w:hAnsi="Times New Roman"/>
          <w:i/>
          <w:iCs/>
          <w:lang w:val="en-GB"/>
        </w:rPr>
        <w:t>Luxembourg</w:t>
      </w:r>
      <w:r w:rsidRPr="009D2134">
        <w:rPr>
          <w:rFonts w:ascii="Times New Roman" w:hAnsi="Times New Roman"/>
          <w:lang w:val="en-GB"/>
        </w:rPr>
        <w:t xml:space="preserve"> [1996] ECR I</w:t>
      </w:r>
      <w:r w:rsidRPr="009D2134">
        <w:rPr>
          <w:rFonts w:ascii="Times New Roman" w:hAnsi="Times New Roman"/>
          <w:lang w:val="en-GB"/>
        </w:rPr>
        <w:noBreakHyphen/>
        <w:t>3207, para. 35; Case C</w:t>
      </w:r>
      <w:r w:rsidRPr="009D2134">
        <w:rPr>
          <w:rFonts w:ascii="Times New Roman" w:hAnsi="Times New Roman"/>
          <w:lang w:val="en-GB"/>
        </w:rPr>
        <w:noBreakHyphen/>
        <w:t xml:space="preserve">51/08, </w:t>
      </w:r>
      <w:r w:rsidRPr="009D2134">
        <w:rPr>
          <w:rStyle w:val="affairetitle"/>
          <w:rFonts w:ascii="Times New Roman" w:hAnsi="Times New Roman"/>
          <w:lang w:val="en-GB"/>
        </w:rPr>
        <w:t>Commission v Luxembourg [</w:t>
      </w:r>
      <w:r w:rsidRPr="009D2134">
        <w:rPr>
          <w:rFonts w:ascii="Times New Roman" w:hAnsi="Times New Roman"/>
          <w:lang w:val="en-GB"/>
        </w:rPr>
        <w:t>2011</w:t>
      </w:r>
      <w:r w:rsidRPr="009D2134">
        <w:rPr>
          <w:rStyle w:val="affairetitle"/>
          <w:rFonts w:ascii="Times New Roman" w:hAnsi="Times New Roman"/>
          <w:lang w:val="en-GB"/>
        </w:rPr>
        <w:t xml:space="preserve">] ECR </w:t>
      </w:r>
      <w:r w:rsidRPr="009D2134">
        <w:rPr>
          <w:rFonts w:ascii="Times New Roman" w:hAnsi="Times New Roman"/>
          <w:lang w:val="en-GB"/>
        </w:rPr>
        <w:t xml:space="preserve">I-4231, para. 124; Case </w:t>
      </w:r>
      <w:r w:rsidRPr="009D2134">
        <w:rPr>
          <w:rStyle w:val="affairetitle"/>
          <w:rFonts w:ascii="Times New Roman" w:hAnsi="Times New Roman"/>
          <w:lang w:val="en-GB"/>
        </w:rPr>
        <w:t>C-202/11, Las [2013] not yet published, para. 26-27 (</w:t>
      </w:r>
      <w:r w:rsidRPr="009D2134">
        <w:rPr>
          <w:rFonts w:ascii="Times New Roman" w:hAnsi="Times New Roman"/>
          <w:lang w:val="en-GB"/>
        </w:rPr>
        <w:t>preservation of national identity as a legitimate aim of national policy).</w:t>
      </w:r>
    </w:p>
  </w:footnote>
  <w:footnote w:id="121">
    <w:p w:rsidR="005E6612" w:rsidRDefault="005E6612" w:rsidP="009D2134">
      <w:pPr>
        <w:pStyle w:val="Testonotaapidipagina"/>
        <w:jc w:val="both"/>
      </w:pPr>
      <w:r w:rsidRPr="009D2134">
        <w:rPr>
          <w:rStyle w:val="Rimandonotaapidipagina"/>
          <w:rFonts w:ascii="Times New Roman" w:hAnsi="Times New Roman"/>
          <w:lang w:val="en-GB"/>
        </w:rPr>
        <w:footnoteRef/>
      </w:r>
      <w:r w:rsidRPr="009D2134">
        <w:rPr>
          <w:rFonts w:ascii="Times New Roman" w:hAnsi="Times New Roman"/>
          <w:lang w:val="en-GB"/>
        </w:rPr>
        <w:t xml:space="preserve"> </w:t>
      </w:r>
      <w:r w:rsidRPr="009D2134">
        <w:rPr>
          <w:rFonts w:ascii="Times New Roman" w:hAnsi="Times New Roman"/>
          <w:i/>
          <w:iCs/>
          <w:lang w:val="en-GB"/>
        </w:rPr>
        <w:t xml:space="preserve">Bosman </w:t>
      </w:r>
      <w:r w:rsidRPr="009D2134">
        <w:rPr>
          <w:rFonts w:ascii="Times New Roman" w:hAnsi="Times New Roman"/>
          <w:lang w:val="en-GB"/>
        </w:rPr>
        <w:t>[1995], para. 131.</w:t>
      </w:r>
    </w:p>
  </w:footnote>
  <w:footnote w:id="122">
    <w:p w:rsidR="005E6612" w:rsidRDefault="005E6612" w:rsidP="009D2134">
      <w:pPr>
        <w:pStyle w:val="Testonotaapidipagina"/>
        <w:jc w:val="both"/>
      </w:pPr>
      <w:r w:rsidRPr="009D2134">
        <w:rPr>
          <w:rStyle w:val="Rimandonotaapidipagina"/>
          <w:rFonts w:ascii="Times New Roman" w:hAnsi="Times New Roman"/>
          <w:lang w:val="en-GB"/>
        </w:rPr>
        <w:footnoteRef/>
      </w:r>
      <w:r w:rsidRPr="009D2134">
        <w:rPr>
          <w:rFonts w:ascii="Times New Roman" w:hAnsi="Times New Roman"/>
          <w:lang w:val="en-GB"/>
        </w:rPr>
        <w:t xml:space="preserve"> Case C-473/93, </w:t>
      </w:r>
      <w:r w:rsidRPr="009D2134">
        <w:rPr>
          <w:rFonts w:ascii="Times New Roman" w:hAnsi="Times New Roman"/>
          <w:i/>
          <w:iCs/>
          <w:lang w:val="en-GB"/>
        </w:rPr>
        <w:t>Commission v Luxembourg</w:t>
      </w:r>
      <w:r w:rsidRPr="009D2134">
        <w:rPr>
          <w:rFonts w:ascii="Times New Roman" w:hAnsi="Times New Roman"/>
          <w:lang w:val="en-GB"/>
        </w:rPr>
        <w:t xml:space="preserve"> [1996] ECR I-3207, para. 35. See also Case C-208/09, </w:t>
      </w:r>
      <w:r w:rsidRPr="009D2134">
        <w:rPr>
          <w:rFonts w:ascii="Times New Roman" w:hAnsi="Times New Roman"/>
          <w:i/>
          <w:iCs/>
          <w:lang w:val="en-GB"/>
        </w:rPr>
        <w:t>Sayn-Wittgenstein</w:t>
      </w:r>
      <w:r w:rsidRPr="009D2134">
        <w:rPr>
          <w:rFonts w:ascii="Times New Roman" w:hAnsi="Times New Roman"/>
          <w:lang w:val="en-GB"/>
        </w:rPr>
        <w:t xml:space="preserve"> [2010] ECR</w:t>
      </w:r>
      <w:r w:rsidRPr="00D73610">
        <w:rPr>
          <w:rFonts w:ascii="Times New Roman" w:hAnsi="Times New Roman"/>
          <w:lang w:val="en-GB"/>
        </w:rPr>
        <w:t xml:space="preserve"> I-13693, </w:t>
      </w:r>
      <w:r>
        <w:rPr>
          <w:rFonts w:ascii="Times New Roman" w:hAnsi="Times New Roman"/>
          <w:lang w:val="en-GB"/>
        </w:rPr>
        <w:t>para.</w:t>
      </w:r>
      <w:r w:rsidRPr="00D73610">
        <w:rPr>
          <w:rFonts w:ascii="Times New Roman" w:hAnsi="Times New Roman"/>
          <w:lang w:val="en-GB"/>
        </w:rPr>
        <w:t xml:space="preserve"> 80, for a reference to the need of balancing the legitimate goal of preserving Austrian constitutional identity, on the one side, and the freedom of movement of persons, on the other.</w:t>
      </w:r>
    </w:p>
  </w:footnote>
  <w:footnote w:id="123">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See A. von Bogdandy, S. Schill, </w:t>
      </w:r>
      <w:r>
        <w:rPr>
          <w:rFonts w:ascii="Times New Roman" w:hAnsi="Times New Roman"/>
          <w:lang w:val="en-GB"/>
        </w:rPr>
        <w:t>‘</w:t>
      </w:r>
      <w:r w:rsidRPr="00D73610">
        <w:rPr>
          <w:rFonts w:ascii="Times New Roman" w:hAnsi="Times New Roman"/>
          <w:lang w:val="en-GB"/>
        </w:rPr>
        <w:t>Overcoming Absolute Primacy: Respect for National Identity Under the Lisbon Treaty</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iCs/>
          <w:lang w:val="en-GB"/>
        </w:rPr>
        <w:t>Common Market Law Review</w:t>
      </w:r>
      <w:r w:rsidRPr="00D73610">
        <w:rPr>
          <w:rFonts w:ascii="Times New Roman" w:hAnsi="Times New Roman"/>
          <w:lang w:val="en-GB"/>
        </w:rPr>
        <w:t>, 48, 2011, 1417–1454, 1422 ff.</w:t>
      </w:r>
    </w:p>
  </w:footnote>
  <w:footnote w:id="124">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550AFF">
        <w:rPr>
          <w:rFonts w:ascii="Times New Roman" w:hAnsi="Times New Roman"/>
          <w:i/>
          <w:iCs/>
          <w:lang w:val="en-GB"/>
        </w:rPr>
        <w:t>Pupino</w:t>
      </w:r>
      <w:r w:rsidRPr="00550AFF">
        <w:rPr>
          <w:rFonts w:ascii="Times New Roman" w:hAnsi="Times New Roman"/>
          <w:lang w:val="en-GB"/>
        </w:rPr>
        <w:t xml:space="preserve"> [2005] para. 52; </w:t>
      </w:r>
      <w:r w:rsidRPr="00550AFF">
        <w:rPr>
          <w:rFonts w:ascii="Times New Roman" w:hAnsi="Times New Roman"/>
          <w:i/>
          <w:iCs/>
          <w:lang w:val="en-GB"/>
        </w:rPr>
        <w:t xml:space="preserve">Laval </w:t>
      </w:r>
      <w:r w:rsidRPr="00550AFF">
        <w:rPr>
          <w:rFonts w:ascii="Times New Roman" w:hAnsi="Times New Roman"/>
          <w:lang w:val="en-GB"/>
        </w:rPr>
        <w:t xml:space="preserve">[2007] para. 94. It is worth mentioning that the notion of human dignity, although not explicitly mentioned, is at the core of </w:t>
      </w:r>
      <w:r w:rsidRPr="00550AFF">
        <w:rPr>
          <w:rFonts w:ascii="Times New Roman" w:hAnsi="Times New Roman"/>
          <w:bCs/>
          <w:i/>
          <w:lang w:val="en-GB"/>
        </w:rPr>
        <w:t>Stauder</w:t>
      </w:r>
      <w:r w:rsidRPr="00550AFF">
        <w:rPr>
          <w:rFonts w:ascii="Times New Roman" w:hAnsi="Times New Roman"/>
          <w:bCs/>
          <w:lang w:val="en-GB"/>
        </w:rPr>
        <w:t xml:space="preserve"> [1969]</w:t>
      </w:r>
      <w:r w:rsidRPr="00550AFF">
        <w:rPr>
          <w:rFonts w:ascii="Times New Roman" w:hAnsi="Times New Roman"/>
          <w:lang w:val="en-GB"/>
        </w:rPr>
        <w:t xml:space="preserve">. </w:t>
      </w:r>
    </w:p>
  </w:footnote>
  <w:footnote w:id="125">
    <w:p w:rsidR="005E6612" w:rsidRDefault="005E6612" w:rsidP="00B27D8E">
      <w:pPr>
        <w:pStyle w:val="Testonotaapidipagina"/>
        <w:jc w:val="both"/>
      </w:pPr>
      <w:r w:rsidRPr="00550AFF">
        <w:rPr>
          <w:rStyle w:val="Rimandonotaapidipagina"/>
          <w:rFonts w:ascii="Times New Roman" w:hAnsi="Times New Roman"/>
          <w:lang w:val="en-GB"/>
        </w:rPr>
        <w:footnoteRef/>
      </w:r>
      <w:r w:rsidRPr="007945B9">
        <w:rPr>
          <w:rFonts w:ascii="Times New Roman" w:hAnsi="Times New Roman"/>
          <w:lang w:val="es-ES"/>
        </w:rPr>
        <w:t xml:space="preserve"> </w:t>
      </w:r>
      <w:r w:rsidRPr="007945B9">
        <w:rPr>
          <w:rFonts w:ascii="Times New Roman" w:hAnsi="Times New Roman"/>
          <w:bCs/>
          <w:i/>
          <w:iCs/>
          <w:lang w:val="es-ES"/>
        </w:rPr>
        <w:t xml:space="preserve">Viking </w:t>
      </w:r>
      <w:r w:rsidRPr="007945B9">
        <w:rPr>
          <w:rFonts w:ascii="Times New Roman" w:hAnsi="Times New Roman"/>
          <w:bCs/>
          <w:iCs/>
          <w:lang w:val="es-ES"/>
        </w:rPr>
        <w:t xml:space="preserve">[2007], para. </w:t>
      </w:r>
      <w:r w:rsidRPr="007945B9">
        <w:rPr>
          <w:rFonts w:ascii="Times New Roman" w:hAnsi="Times New Roman"/>
          <w:lang w:val="es-ES"/>
        </w:rPr>
        <w:t>46.</w:t>
      </w:r>
    </w:p>
  </w:footnote>
  <w:footnote w:id="126">
    <w:p w:rsidR="005E6612" w:rsidRDefault="005E6612" w:rsidP="00B27D8E">
      <w:pPr>
        <w:pStyle w:val="Testonotaapidipagina"/>
        <w:jc w:val="both"/>
      </w:pPr>
      <w:r w:rsidRPr="00550AFF">
        <w:rPr>
          <w:rStyle w:val="Rimandonotaapidipagina"/>
          <w:rFonts w:ascii="Times New Roman" w:hAnsi="Times New Roman"/>
          <w:lang w:val="en-GB"/>
        </w:rPr>
        <w:footnoteRef/>
      </w:r>
      <w:r w:rsidRPr="007945B9">
        <w:rPr>
          <w:rFonts w:ascii="Times New Roman" w:hAnsi="Times New Roman"/>
          <w:lang w:val="es-ES"/>
        </w:rPr>
        <w:t xml:space="preserve"> </w:t>
      </w:r>
      <w:r w:rsidRPr="007945B9">
        <w:rPr>
          <w:rFonts w:ascii="Times New Roman" w:hAnsi="Times New Roman"/>
          <w:bCs/>
          <w:i/>
          <w:iCs/>
          <w:lang w:val="es-ES"/>
        </w:rPr>
        <w:t>ERT</w:t>
      </w:r>
      <w:r w:rsidRPr="007945B9">
        <w:rPr>
          <w:rFonts w:ascii="Times New Roman" w:hAnsi="Times New Roman"/>
          <w:bCs/>
          <w:iCs/>
          <w:lang w:val="es-ES"/>
        </w:rPr>
        <w:t xml:space="preserve"> [1991], para. </w:t>
      </w:r>
      <w:r w:rsidRPr="009950AA">
        <w:rPr>
          <w:rFonts w:ascii="Times New Roman" w:hAnsi="Times New Roman"/>
          <w:bCs/>
          <w:iCs/>
          <w:lang w:val="en-GB"/>
        </w:rPr>
        <w:t xml:space="preserve">44; </w:t>
      </w:r>
      <w:r w:rsidRPr="00A405F4">
        <w:rPr>
          <w:rFonts w:ascii="Times New Roman" w:hAnsi="Times New Roman"/>
          <w:bCs/>
          <w:i/>
          <w:iCs/>
          <w:lang w:val="en-GB"/>
        </w:rPr>
        <w:t xml:space="preserve">Schmidberger </w:t>
      </w:r>
      <w:r w:rsidRPr="00A405F4">
        <w:rPr>
          <w:rFonts w:ascii="Times New Roman" w:hAnsi="Times New Roman"/>
          <w:bCs/>
          <w:iCs/>
          <w:lang w:val="en-GB"/>
        </w:rPr>
        <w:t>[2003] para. 77.</w:t>
      </w:r>
    </w:p>
  </w:footnote>
  <w:footnote w:id="127">
    <w:p w:rsidR="005E6612" w:rsidRDefault="005E6612" w:rsidP="00B27D8E">
      <w:pPr>
        <w:pStyle w:val="Testonotaapidipagina"/>
        <w:jc w:val="both"/>
      </w:pPr>
      <w:r w:rsidRPr="0022534D">
        <w:rPr>
          <w:rStyle w:val="Rimandonotaapidipagina"/>
          <w:rFonts w:ascii="Times New Roman" w:hAnsi="Times New Roman"/>
          <w:lang w:val="en-GB"/>
        </w:rPr>
        <w:footnoteRef/>
      </w:r>
      <w:r w:rsidRPr="009950AA">
        <w:rPr>
          <w:rFonts w:ascii="Times New Roman" w:hAnsi="Times New Roman"/>
          <w:lang w:val="en-GB"/>
        </w:rPr>
        <w:t xml:space="preserve"> </w:t>
      </w:r>
      <w:r w:rsidRPr="009950AA">
        <w:rPr>
          <w:rFonts w:ascii="Times New Roman" w:hAnsi="Times New Roman"/>
          <w:bCs/>
          <w:i/>
          <w:iCs/>
          <w:lang w:val="en-GB"/>
        </w:rPr>
        <w:t xml:space="preserve">Grogan </w:t>
      </w:r>
      <w:r w:rsidRPr="009950AA">
        <w:rPr>
          <w:rFonts w:ascii="Times New Roman" w:hAnsi="Times New Roman"/>
          <w:bCs/>
          <w:iCs/>
          <w:lang w:val="en-GB"/>
        </w:rPr>
        <w:t>[1991], para. 26.</w:t>
      </w:r>
    </w:p>
  </w:footnote>
  <w:footnote w:id="128">
    <w:p w:rsidR="005E6612" w:rsidRDefault="005E6612" w:rsidP="00B27D8E">
      <w:pPr>
        <w:spacing w:after="0" w:line="240" w:lineRule="auto"/>
        <w:jc w:val="both"/>
      </w:pPr>
      <w:r w:rsidRPr="0022534D">
        <w:rPr>
          <w:rStyle w:val="Rimandonotaapidipagina"/>
          <w:rFonts w:ascii="Times New Roman" w:hAnsi="Times New Roman"/>
          <w:sz w:val="20"/>
          <w:szCs w:val="20"/>
          <w:lang w:val="en-GB"/>
        </w:rPr>
        <w:footnoteRef/>
      </w:r>
      <w:r w:rsidRPr="0022534D">
        <w:rPr>
          <w:rFonts w:ascii="Times New Roman" w:hAnsi="Times New Roman"/>
          <w:sz w:val="20"/>
          <w:szCs w:val="20"/>
          <w:lang w:val="en-GB"/>
        </w:rPr>
        <w:t xml:space="preserve"> </w:t>
      </w:r>
      <w:r>
        <w:rPr>
          <w:rFonts w:ascii="Times New Roman" w:hAnsi="Times New Roman"/>
          <w:sz w:val="20"/>
          <w:szCs w:val="20"/>
          <w:lang w:val="en-GB" w:eastAsia="it-IT"/>
        </w:rPr>
        <w:t xml:space="preserve">E.g. </w:t>
      </w:r>
      <w:r w:rsidRPr="009950AA">
        <w:rPr>
          <w:rFonts w:ascii="Times New Roman" w:hAnsi="Times New Roman"/>
          <w:i/>
          <w:iCs/>
          <w:sz w:val="20"/>
          <w:szCs w:val="20"/>
          <w:lang w:val="en-GB"/>
        </w:rPr>
        <w:t xml:space="preserve">Defrenne II </w:t>
      </w:r>
      <w:r w:rsidRPr="009950AA">
        <w:rPr>
          <w:rFonts w:ascii="Times New Roman" w:hAnsi="Times New Roman"/>
          <w:sz w:val="20"/>
          <w:szCs w:val="20"/>
          <w:lang w:val="en-GB"/>
        </w:rPr>
        <w:t xml:space="preserve">[1976]; </w:t>
      </w:r>
      <w:r w:rsidRPr="009950AA">
        <w:rPr>
          <w:rFonts w:ascii="Times New Roman" w:hAnsi="Times New Roman"/>
          <w:bCs/>
          <w:i/>
          <w:iCs/>
          <w:sz w:val="20"/>
          <w:szCs w:val="20"/>
          <w:lang w:val="en-GB"/>
        </w:rPr>
        <w:t xml:space="preserve">Barber </w:t>
      </w:r>
      <w:r w:rsidRPr="009950AA">
        <w:rPr>
          <w:rFonts w:ascii="Times New Roman" w:hAnsi="Times New Roman"/>
          <w:bCs/>
          <w:sz w:val="20"/>
          <w:szCs w:val="20"/>
          <w:lang w:val="en-GB"/>
        </w:rPr>
        <w:t xml:space="preserve">[1990]; </w:t>
      </w:r>
      <w:r w:rsidRPr="009950AA">
        <w:rPr>
          <w:rFonts w:ascii="Times New Roman" w:hAnsi="Times New Roman"/>
          <w:i/>
          <w:iCs/>
          <w:sz w:val="20"/>
          <w:szCs w:val="20"/>
          <w:lang w:val="en-GB"/>
        </w:rPr>
        <w:t xml:space="preserve">Martínez Sala </w:t>
      </w:r>
      <w:r w:rsidRPr="009950AA">
        <w:rPr>
          <w:rFonts w:ascii="Times New Roman" w:hAnsi="Times New Roman"/>
          <w:sz w:val="20"/>
          <w:szCs w:val="20"/>
          <w:lang w:val="en-GB"/>
        </w:rPr>
        <w:t xml:space="preserve">[1998]; </w:t>
      </w:r>
      <w:r w:rsidRPr="009950AA">
        <w:rPr>
          <w:rFonts w:ascii="Times New Roman" w:hAnsi="Times New Roman"/>
          <w:i/>
          <w:iCs/>
          <w:sz w:val="20"/>
          <w:szCs w:val="20"/>
          <w:lang w:val="en-GB"/>
        </w:rPr>
        <w:t xml:space="preserve">Köbler </w:t>
      </w:r>
      <w:r w:rsidRPr="009950AA">
        <w:rPr>
          <w:rFonts w:ascii="Times New Roman" w:hAnsi="Times New Roman"/>
          <w:sz w:val="20"/>
          <w:szCs w:val="20"/>
          <w:lang w:val="en-GB"/>
        </w:rPr>
        <w:t xml:space="preserve">[2003]; </w:t>
      </w:r>
      <w:r w:rsidRPr="009950AA">
        <w:rPr>
          <w:rFonts w:ascii="Times New Roman" w:hAnsi="Times New Roman"/>
          <w:bCs/>
          <w:i/>
          <w:iCs/>
          <w:sz w:val="20"/>
          <w:szCs w:val="20"/>
          <w:lang w:val="en-GB"/>
        </w:rPr>
        <w:t>Pupino</w:t>
      </w:r>
      <w:r w:rsidRPr="009950AA">
        <w:rPr>
          <w:rFonts w:ascii="Times New Roman" w:hAnsi="Times New Roman"/>
          <w:bCs/>
          <w:iCs/>
          <w:sz w:val="20"/>
          <w:szCs w:val="20"/>
          <w:lang w:val="en-GB"/>
        </w:rPr>
        <w:t xml:space="preserve"> [2005]; </w:t>
      </w:r>
      <w:r w:rsidRPr="009950AA">
        <w:rPr>
          <w:rFonts w:ascii="Times New Roman" w:hAnsi="Times New Roman"/>
          <w:i/>
          <w:iCs/>
          <w:sz w:val="20"/>
          <w:szCs w:val="20"/>
          <w:lang w:val="en-GB"/>
        </w:rPr>
        <w:t xml:space="preserve">Mangold </w:t>
      </w:r>
      <w:r w:rsidRPr="009950AA">
        <w:rPr>
          <w:rFonts w:ascii="Times New Roman" w:hAnsi="Times New Roman"/>
          <w:sz w:val="20"/>
          <w:szCs w:val="20"/>
          <w:lang w:val="en-GB"/>
        </w:rPr>
        <w:t xml:space="preserve">[2005]; </w:t>
      </w:r>
      <w:r w:rsidRPr="009950AA">
        <w:rPr>
          <w:rFonts w:ascii="Times New Roman" w:hAnsi="Times New Roman"/>
          <w:i/>
          <w:iCs/>
          <w:sz w:val="20"/>
          <w:szCs w:val="20"/>
          <w:lang w:val="en-GB"/>
        </w:rPr>
        <w:t xml:space="preserve">Kadi </w:t>
      </w:r>
      <w:r w:rsidRPr="009950AA">
        <w:rPr>
          <w:rFonts w:ascii="Times New Roman" w:hAnsi="Times New Roman"/>
          <w:sz w:val="20"/>
          <w:szCs w:val="20"/>
          <w:lang w:val="en-GB"/>
        </w:rPr>
        <w:t xml:space="preserve">[2008]. </w:t>
      </w:r>
      <w:r w:rsidRPr="003C7269">
        <w:rPr>
          <w:rFonts w:ascii="Times New Roman" w:hAnsi="Times New Roman"/>
          <w:sz w:val="20"/>
          <w:szCs w:val="20"/>
          <w:lang w:val="en-GB"/>
        </w:rPr>
        <w:t xml:space="preserve">See also </w:t>
      </w:r>
      <w:r w:rsidRPr="003C7269">
        <w:rPr>
          <w:rFonts w:ascii="Times New Roman" w:hAnsi="Times New Roman"/>
          <w:i/>
          <w:iCs/>
          <w:sz w:val="20"/>
          <w:szCs w:val="20"/>
          <w:lang w:val="en-GB"/>
        </w:rPr>
        <w:t xml:space="preserve">Advocaten voor de Wereld </w:t>
      </w:r>
      <w:r w:rsidRPr="003C7269">
        <w:rPr>
          <w:rFonts w:ascii="Times New Roman" w:hAnsi="Times New Roman"/>
          <w:sz w:val="20"/>
          <w:szCs w:val="20"/>
          <w:lang w:val="en-GB"/>
        </w:rPr>
        <w:t>[2007].</w:t>
      </w:r>
    </w:p>
  </w:footnote>
  <w:footnote w:id="129">
    <w:p w:rsidR="005E6612" w:rsidRDefault="005E6612" w:rsidP="00B27D8E">
      <w:pPr>
        <w:pStyle w:val="Testonotaapidipagina"/>
        <w:jc w:val="both"/>
      </w:pPr>
      <w:r w:rsidRPr="0022534D">
        <w:rPr>
          <w:rStyle w:val="Rimandonotaapidipagina"/>
          <w:rFonts w:ascii="Times New Roman" w:hAnsi="Times New Roman"/>
          <w:lang w:val="en-GB"/>
        </w:rPr>
        <w:footnoteRef/>
      </w:r>
      <w:r w:rsidRPr="00CD0778">
        <w:rPr>
          <w:rFonts w:ascii="Times New Roman" w:hAnsi="Times New Roman"/>
          <w:lang w:val="es-ES"/>
        </w:rPr>
        <w:t xml:space="preserve"> </w:t>
      </w:r>
      <w:r w:rsidRPr="00CD0778">
        <w:rPr>
          <w:rFonts w:ascii="Times New Roman" w:hAnsi="Times New Roman"/>
          <w:bCs/>
          <w:i/>
          <w:iCs/>
          <w:lang w:val="es-ES"/>
        </w:rPr>
        <w:t>Van Gend en Loos</w:t>
      </w:r>
      <w:r w:rsidRPr="00CD0778">
        <w:rPr>
          <w:rFonts w:ascii="Times New Roman" w:hAnsi="Times New Roman"/>
          <w:bCs/>
          <w:iCs/>
          <w:lang w:val="es-ES"/>
        </w:rPr>
        <w:t xml:space="preserve"> [1963], 13; </w:t>
      </w:r>
      <w:r w:rsidRPr="00CD0778">
        <w:rPr>
          <w:rFonts w:ascii="Times New Roman" w:hAnsi="Times New Roman"/>
          <w:i/>
          <w:iCs/>
          <w:lang w:val="es-ES"/>
        </w:rPr>
        <w:t>Costa</w:t>
      </w:r>
      <w:r w:rsidRPr="00CD0778">
        <w:rPr>
          <w:rFonts w:ascii="Times New Roman" w:hAnsi="Times New Roman"/>
          <w:lang w:val="es-ES"/>
        </w:rPr>
        <w:t xml:space="preserve"> [1964], 594; </w:t>
      </w:r>
      <w:r w:rsidRPr="00CD0778">
        <w:rPr>
          <w:rFonts w:ascii="Times New Roman" w:hAnsi="Times New Roman"/>
          <w:i/>
          <w:iCs/>
          <w:lang w:val="es-ES"/>
        </w:rPr>
        <w:t xml:space="preserve">Bosman </w:t>
      </w:r>
      <w:r w:rsidRPr="00CD0778">
        <w:rPr>
          <w:rFonts w:ascii="Times New Roman" w:hAnsi="Times New Roman"/>
          <w:lang w:val="es-ES"/>
        </w:rPr>
        <w:t xml:space="preserve">[1995], para. </w:t>
      </w:r>
      <w:r w:rsidRPr="007945B9">
        <w:rPr>
          <w:rFonts w:ascii="Times New Roman" w:hAnsi="Times New Roman"/>
          <w:lang w:val="es-ES"/>
        </w:rPr>
        <w:t xml:space="preserve">84; </w:t>
      </w:r>
      <w:r w:rsidRPr="007945B9">
        <w:rPr>
          <w:rFonts w:ascii="Times New Roman" w:hAnsi="Times New Roman"/>
          <w:i/>
          <w:iCs/>
          <w:lang w:val="es-ES"/>
        </w:rPr>
        <w:t xml:space="preserve">Köbler </w:t>
      </w:r>
      <w:r w:rsidRPr="007945B9">
        <w:rPr>
          <w:rFonts w:ascii="Times New Roman" w:hAnsi="Times New Roman"/>
          <w:iCs/>
          <w:lang w:val="es-ES"/>
        </w:rPr>
        <w:t>[2003], para. 33</w:t>
      </w:r>
      <w:r>
        <w:rPr>
          <w:rFonts w:ascii="Times New Roman" w:hAnsi="Times New Roman"/>
          <w:iCs/>
          <w:lang w:val="es-ES"/>
        </w:rPr>
        <w:t xml:space="preserve">; </w:t>
      </w:r>
      <w:r w:rsidRPr="007945B9">
        <w:rPr>
          <w:rFonts w:ascii="Times New Roman" w:hAnsi="Times New Roman"/>
          <w:i/>
          <w:lang w:val="es-ES"/>
        </w:rPr>
        <w:t>Viking</w:t>
      </w:r>
      <w:r>
        <w:rPr>
          <w:rFonts w:ascii="Times New Roman" w:hAnsi="Times New Roman"/>
          <w:iCs/>
          <w:lang w:val="es-ES"/>
        </w:rPr>
        <w:t xml:space="preserve"> [2007], para. 54</w:t>
      </w:r>
      <w:r w:rsidRPr="007945B9">
        <w:rPr>
          <w:rFonts w:ascii="Times New Roman" w:hAnsi="Times New Roman"/>
          <w:lang w:val="es-ES"/>
        </w:rPr>
        <w:t>.</w:t>
      </w:r>
    </w:p>
  </w:footnote>
  <w:footnote w:id="130">
    <w:p w:rsidR="005E6612" w:rsidRDefault="005E6612" w:rsidP="00B27D8E">
      <w:pPr>
        <w:pStyle w:val="Testonotaapidipagina"/>
        <w:jc w:val="both"/>
      </w:pPr>
      <w:r w:rsidRPr="00D73610">
        <w:rPr>
          <w:rStyle w:val="Rimandonotaapidipagina"/>
          <w:rFonts w:ascii="Times New Roman" w:hAnsi="Times New Roman"/>
          <w:lang w:val="en-GB"/>
        </w:rPr>
        <w:footnoteRef/>
      </w:r>
      <w:r w:rsidRPr="007945B9">
        <w:rPr>
          <w:rFonts w:ascii="Times New Roman" w:hAnsi="Times New Roman"/>
          <w:lang w:val="es-ES"/>
        </w:rPr>
        <w:t xml:space="preserve"> </w:t>
      </w:r>
      <w:r w:rsidRPr="007945B9">
        <w:rPr>
          <w:rFonts w:ascii="Times New Roman" w:hAnsi="Times New Roman"/>
          <w:i/>
          <w:iCs/>
          <w:lang w:val="es-ES"/>
        </w:rPr>
        <w:t>Internationale Handelsgesellschaft</w:t>
      </w:r>
      <w:r w:rsidRPr="007945B9">
        <w:rPr>
          <w:rFonts w:ascii="Times New Roman" w:hAnsi="Times New Roman"/>
          <w:lang w:val="es-ES"/>
        </w:rPr>
        <w:t xml:space="preserve"> [1970] para. 12 and 16; </w:t>
      </w:r>
      <w:r>
        <w:rPr>
          <w:rFonts w:ascii="Times New Roman" w:hAnsi="Times New Roman"/>
          <w:color w:val="000000"/>
          <w:lang w:val="es-ES"/>
        </w:rPr>
        <w:t>‘</w:t>
      </w:r>
      <w:r w:rsidRPr="007945B9">
        <w:rPr>
          <w:rFonts w:ascii="Times New Roman" w:hAnsi="Times New Roman"/>
          <w:color w:val="000000"/>
          <w:lang w:val="es-ES"/>
        </w:rPr>
        <w:t>Cassis de Dijon</w:t>
      </w:r>
      <w:r>
        <w:rPr>
          <w:rFonts w:ascii="Times New Roman" w:hAnsi="Times New Roman"/>
          <w:color w:val="000000"/>
          <w:lang w:val="es-ES"/>
        </w:rPr>
        <w:t>’</w:t>
      </w:r>
      <w:r w:rsidRPr="007945B9">
        <w:rPr>
          <w:rFonts w:ascii="Times New Roman" w:hAnsi="Times New Roman"/>
          <w:color w:val="000000"/>
          <w:lang w:val="es-ES"/>
        </w:rPr>
        <w:t xml:space="preserve"> [1979], para. 8; </w:t>
      </w:r>
      <w:r w:rsidRPr="007945B9">
        <w:rPr>
          <w:rFonts w:ascii="Times New Roman" w:hAnsi="Times New Roman"/>
          <w:i/>
          <w:iCs/>
          <w:lang w:val="es-ES"/>
        </w:rPr>
        <w:t>Hauer</w:t>
      </w:r>
      <w:r w:rsidRPr="007945B9">
        <w:rPr>
          <w:rFonts w:ascii="Times New Roman" w:hAnsi="Times New Roman"/>
          <w:lang w:val="es-ES"/>
        </w:rPr>
        <w:t xml:space="preserve"> [1979], para. 23; </w:t>
      </w:r>
      <w:r w:rsidRPr="007945B9">
        <w:rPr>
          <w:rFonts w:ascii="Times New Roman" w:hAnsi="Times New Roman"/>
          <w:i/>
          <w:iCs/>
          <w:lang w:val="es-ES"/>
        </w:rPr>
        <w:t>Wachauf</w:t>
      </w:r>
      <w:r w:rsidRPr="007945B9">
        <w:rPr>
          <w:rFonts w:ascii="Times New Roman" w:hAnsi="Times New Roman"/>
          <w:lang w:val="es-ES"/>
        </w:rPr>
        <w:t xml:space="preserve"> [1989], para. 18; </w:t>
      </w:r>
      <w:r w:rsidRPr="007945B9">
        <w:rPr>
          <w:rFonts w:ascii="Times New Roman" w:hAnsi="Times New Roman"/>
          <w:i/>
          <w:iCs/>
          <w:lang w:val="es-ES"/>
        </w:rPr>
        <w:t>Bosman</w:t>
      </w:r>
      <w:r w:rsidRPr="007945B9">
        <w:rPr>
          <w:rFonts w:ascii="Times New Roman" w:hAnsi="Times New Roman"/>
          <w:lang w:val="es-ES"/>
        </w:rPr>
        <w:t xml:space="preserve"> [1995], para. 104; </w:t>
      </w:r>
      <w:r w:rsidRPr="003C7269">
        <w:rPr>
          <w:rFonts w:ascii="Times New Roman" w:hAnsi="Times New Roman"/>
          <w:i/>
          <w:lang w:val="es-ES"/>
        </w:rPr>
        <w:t xml:space="preserve">Schmidberger </w:t>
      </w:r>
      <w:r w:rsidRPr="003C7269">
        <w:rPr>
          <w:rFonts w:ascii="Times New Roman" w:hAnsi="Times New Roman"/>
          <w:lang w:val="es-ES"/>
        </w:rPr>
        <w:t xml:space="preserve">[2003] para. 79; </w:t>
      </w:r>
      <w:r w:rsidRPr="003C7269">
        <w:rPr>
          <w:rFonts w:ascii="Times New Roman" w:hAnsi="Times New Roman"/>
          <w:i/>
          <w:lang w:val="es-ES"/>
        </w:rPr>
        <w:t>Omega</w:t>
      </w:r>
      <w:r w:rsidRPr="003C7269">
        <w:rPr>
          <w:rFonts w:ascii="Times New Roman" w:hAnsi="Times New Roman"/>
          <w:lang w:val="es-ES"/>
        </w:rPr>
        <w:t xml:space="preserve"> [2004] para. 36;</w:t>
      </w:r>
      <w:r w:rsidRPr="007945B9">
        <w:rPr>
          <w:rFonts w:ascii="Times New Roman" w:hAnsi="Times New Roman"/>
          <w:lang w:val="es-ES"/>
        </w:rPr>
        <w:t xml:space="preserve"> </w:t>
      </w:r>
      <w:r w:rsidRPr="007945B9">
        <w:rPr>
          <w:rFonts w:ascii="Times New Roman" w:hAnsi="Times New Roman"/>
          <w:i/>
          <w:iCs/>
          <w:lang w:val="es-ES"/>
        </w:rPr>
        <w:t>Mangold</w:t>
      </w:r>
      <w:r w:rsidRPr="007945B9">
        <w:rPr>
          <w:rFonts w:ascii="Times New Roman" w:hAnsi="Times New Roman"/>
          <w:lang w:val="es-ES"/>
        </w:rPr>
        <w:t xml:space="preserve"> [2005], para. 65; </w:t>
      </w:r>
      <w:r w:rsidRPr="007945B9">
        <w:rPr>
          <w:rFonts w:ascii="Times New Roman" w:hAnsi="Times New Roman"/>
          <w:i/>
          <w:iCs/>
          <w:lang w:val="es-ES"/>
        </w:rPr>
        <w:t>Viking</w:t>
      </w:r>
      <w:r w:rsidRPr="007945B9">
        <w:rPr>
          <w:rFonts w:ascii="Times New Roman" w:hAnsi="Times New Roman"/>
          <w:lang w:val="es-ES"/>
        </w:rPr>
        <w:t xml:space="preserve"> [2007], para. 46 and 75; </w:t>
      </w:r>
      <w:r w:rsidRPr="007945B9">
        <w:rPr>
          <w:rFonts w:ascii="Times New Roman" w:hAnsi="Times New Roman"/>
          <w:i/>
          <w:iCs/>
          <w:lang w:val="es-ES"/>
        </w:rPr>
        <w:t>Kadi</w:t>
      </w:r>
      <w:r w:rsidRPr="007945B9">
        <w:rPr>
          <w:rFonts w:ascii="Times New Roman" w:hAnsi="Times New Roman"/>
          <w:lang w:val="es-ES"/>
        </w:rPr>
        <w:t xml:space="preserve"> [2008], para. 355.</w:t>
      </w:r>
    </w:p>
  </w:footnote>
  <w:footnote w:id="131">
    <w:p w:rsidR="005E6612" w:rsidRDefault="005E6612" w:rsidP="00B27D8E">
      <w:pPr>
        <w:pStyle w:val="Testonotaapidipagina"/>
        <w:jc w:val="both"/>
      </w:pPr>
      <w:r w:rsidRPr="00D73610">
        <w:rPr>
          <w:rStyle w:val="Rimandonotaapidipagina"/>
          <w:rFonts w:ascii="Times New Roman" w:hAnsi="Times New Roman"/>
          <w:lang w:val="en-GB"/>
        </w:rPr>
        <w:footnoteRef/>
      </w:r>
      <w:r w:rsidRPr="00CD0778">
        <w:rPr>
          <w:rFonts w:ascii="Times New Roman" w:hAnsi="Times New Roman"/>
          <w:lang w:val="es-ES"/>
        </w:rPr>
        <w:t xml:space="preserve"> </w:t>
      </w:r>
      <w:r w:rsidRPr="00CD0778">
        <w:rPr>
          <w:rFonts w:ascii="Times New Roman" w:hAnsi="Times New Roman"/>
          <w:i/>
          <w:lang w:val="es-ES"/>
        </w:rPr>
        <w:t>Hauer</w:t>
      </w:r>
      <w:r w:rsidRPr="00CD0778">
        <w:rPr>
          <w:rFonts w:ascii="Times New Roman" w:hAnsi="Times New Roman"/>
          <w:lang w:val="es-ES"/>
        </w:rPr>
        <w:t xml:space="preserve"> [1979], para. 23; </w:t>
      </w:r>
      <w:r w:rsidRPr="00CD0778">
        <w:rPr>
          <w:rFonts w:ascii="Times New Roman" w:hAnsi="Times New Roman"/>
          <w:i/>
          <w:lang w:val="es-ES"/>
        </w:rPr>
        <w:t>Wachauf</w:t>
      </w:r>
      <w:r w:rsidRPr="00CD0778">
        <w:rPr>
          <w:rFonts w:ascii="Times New Roman" w:hAnsi="Times New Roman"/>
          <w:lang w:val="es-ES"/>
        </w:rPr>
        <w:t xml:space="preserve"> [1989], para. </w:t>
      </w:r>
      <w:r w:rsidRPr="007945B9">
        <w:rPr>
          <w:rFonts w:ascii="Times New Roman" w:hAnsi="Times New Roman"/>
          <w:lang w:val="en-GB"/>
        </w:rPr>
        <w:t xml:space="preserve">18; </w:t>
      </w:r>
      <w:r w:rsidRPr="007945B9">
        <w:rPr>
          <w:rFonts w:ascii="Times New Roman" w:hAnsi="Times New Roman"/>
          <w:i/>
          <w:iCs/>
          <w:lang w:val="en-GB"/>
        </w:rPr>
        <w:t>Kadi</w:t>
      </w:r>
      <w:r w:rsidRPr="007945B9">
        <w:rPr>
          <w:rFonts w:ascii="Times New Roman" w:hAnsi="Times New Roman"/>
          <w:lang w:val="en-GB"/>
        </w:rPr>
        <w:t xml:space="preserve"> [2008], para. </w:t>
      </w:r>
      <w:r w:rsidRPr="00D73610">
        <w:rPr>
          <w:rFonts w:ascii="Times New Roman" w:hAnsi="Times New Roman"/>
          <w:lang w:val="en-GB"/>
        </w:rPr>
        <w:t xml:space="preserve">335. For a reference to the </w:t>
      </w:r>
      <w:r>
        <w:rPr>
          <w:rFonts w:ascii="Times New Roman" w:hAnsi="Times New Roman"/>
          <w:lang w:val="en-GB"/>
        </w:rPr>
        <w:t>‘</w:t>
      </w:r>
      <w:r w:rsidRPr="00D73610">
        <w:rPr>
          <w:rFonts w:ascii="Times New Roman" w:hAnsi="Times New Roman"/>
          <w:lang w:val="en-GB"/>
        </w:rPr>
        <w:t>essential part</w:t>
      </w:r>
      <w:r>
        <w:rPr>
          <w:rFonts w:ascii="Times New Roman" w:hAnsi="Times New Roman"/>
          <w:lang w:val="en-GB"/>
        </w:rPr>
        <w:t>’</w:t>
      </w:r>
      <w:r w:rsidRPr="00D73610">
        <w:rPr>
          <w:rFonts w:ascii="Times New Roman" w:hAnsi="Times New Roman"/>
          <w:lang w:val="en-GB"/>
        </w:rPr>
        <w:t xml:space="preserve"> of the Community competences, see Opinion 1/91 [</w:t>
      </w:r>
      <w:r w:rsidRPr="00D73610">
        <w:rPr>
          <w:rFonts w:ascii="Times New Roman" w:hAnsi="Times New Roman"/>
          <w:bCs/>
          <w:lang w:val="en-GB"/>
        </w:rPr>
        <w:t xml:space="preserve">1991], </w:t>
      </w:r>
      <w:r>
        <w:rPr>
          <w:rFonts w:ascii="Times New Roman" w:hAnsi="Times New Roman"/>
          <w:bCs/>
          <w:lang w:val="en-GB"/>
        </w:rPr>
        <w:t>para.</w:t>
      </w:r>
      <w:r w:rsidRPr="00D73610">
        <w:rPr>
          <w:rFonts w:ascii="Times New Roman" w:hAnsi="Times New Roman"/>
          <w:bCs/>
          <w:lang w:val="en-GB"/>
        </w:rPr>
        <w:t xml:space="preserve"> 41.</w:t>
      </w:r>
    </w:p>
  </w:footnote>
  <w:footnote w:id="132">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M. Kumm, </w:t>
      </w:r>
      <w:r>
        <w:rPr>
          <w:rFonts w:ascii="Times New Roman" w:hAnsi="Times New Roman"/>
          <w:lang w:val="en-GB"/>
        </w:rPr>
        <w:t>‘</w:t>
      </w:r>
      <w:r w:rsidRPr="00D73610">
        <w:rPr>
          <w:rFonts w:ascii="Times New Roman" w:hAnsi="Times New Roman"/>
          <w:i/>
          <w:lang w:val="en-GB"/>
        </w:rPr>
        <w:t>Internationale Handelsgesellschaft</w:t>
      </w:r>
      <w:r w:rsidRPr="00D73610">
        <w:rPr>
          <w:rFonts w:ascii="Times New Roman" w:hAnsi="Times New Roman"/>
          <w:lang w:val="en-GB"/>
        </w:rPr>
        <w:t xml:space="preserve">, </w:t>
      </w:r>
      <w:r w:rsidRPr="00D73610">
        <w:rPr>
          <w:rFonts w:ascii="Times New Roman" w:hAnsi="Times New Roman"/>
          <w:i/>
          <w:lang w:val="en-GB"/>
        </w:rPr>
        <w:t xml:space="preserve">Nold </w:t>
      </w:r>
      <w:r w:rsidRPr="00D73610">
        <w:rPr>
          <w:rFonts w:ascii="Times New Roman" w:hAnsi="Times New Roman"/>
          <w:lang w:val="en-GB"/>
        </w:rPr>
        <w:t>and the New Human Rights Paradigm</w:t>
      </w:r>
      <w:r>
        <w:rPr>
          <w:rFonts w:ascii="Times New Roman" w:hAnsi="Times New Roman"/>
          <w:lang w:val="en-GB"/>
        </w:rPr>
        <w:t>’</w:t>
      </w:r>
      <w:r w:rsidRPr="00D73610">
        <w:rPr>
          <w:rFonts w:ascii="Times New Roman" w:hAnsi="Times New Roman"/>
          <w:lang w:val="en-GB"/>
        </w:rPr>
        <w:t xml:space="preserve">, in M.P. Maduro, L. Azoulai (eds.), </w:t>
      </w:r>
      <w:r w:rsidRPr="00D73610">
        <w:rPr>
          <w:rFonts w:ascii="Times New Roman" w:hAnsi="Times New Roman"/>
          <w:i/>
          <w:lang w:val="en-GB"/>
        </w:rPr>
        <w:t>The Past and Future of EU Law</w:t>
      </w:r>
      <w:r>
        <w:rPr>
          <w:rFonts w:ascii="Times New Roman" w:hAnsi="Times New Roman"/>
          <w:i/>
          <w:lang w:val="en-GB"/>
        </w:rPr>
        <w:t>:</w:t>
      </w:r>
      <w:r w:rsidRPr="00636992">
        <w:rPr>
          <w:sz w:val="22"/>
          <w:szCs w:val="22"/>
        </w:rPr>
        <w:t xml:space="preserve"> </w:t>
      </w:r>
      <w:r w:rsidRPr="00636992">
        <w:rPr>
          <w:rFonts w:ascii="Times New Roman" w:hAnsi="Times New Roman"/>
          <w:i/>
        </w:rPr>
        <w:t>The Classics of EU Law Revisited on the 50th Anniversary of the Rome Treaty</w:t>
      </w:r>
      <w:r>
        <w:rPr>
          <w:rFonts w:ascii="Times New Roman" w:hAnsi="Times New Roman"/>
          <w:lang w:val="en-GB"/>
        </w:rPr>
        <w:t xml:space="preserve"> (Oxford and Portland:</w:t>
      </w:r>
      <w:r w:rsidRPr="00D73610">
        <w:rPr>
          <w:rFonts w:ascii="Times New Roman" w:hAnsi="Times New Roman"/>
          <w:lang w:val="en-GB"/>
        </w:rPr>
        <w:t xml:space="preserve"> Hart, 2010</w:t>
      </w:r>
      <w:r>
        <w:rPr>
          <w:rFonts w:ascii="Times New Roman" w:hAnsi="Times New Roman"/>
          <w:lang w:val="en-GB"/>
        </w:rPr>
        <w:t>)</w:t>
      </w:r>
      <w:r w:rsidRPr="00D73610">
        <w:rPr>
          <w:rFonts w:ascii="Times New Roman" w:hAnsi="Times New Roman"/>
          <w:lang w:val="en-GB"/>
        </w:rPr>
        <w:t>, 106–118.</w:t>
      </w:r>
    </w:p>
  </w:footnote>
  <w:footnote w:id="133">
    <w:p w:rsidR="005E6612" w:rsidRDefault="005E6612" w:rsidP="00B27D8E">
      <w:pPr>
        <w:pStyle w:val="Testonotaapidipagina"/>
        <w:jc w:val="both"/>
      </w:pPr>
      <w:r w:rsidRPr="002065E9">
        <w:rPr>
          <w:rStyle w:val="Rimandonotaapidipagina"/>
          <w:rFonts w:ascii="Times New Roman" w:hAnsi="Times New Roman"/>
          <w:lang w:val="en-GB"/>
        </w:rPr>
        <w:footnoteRef/>
      </w:r>
      <w:r>
        <w:rPr>
          <w:rFonts w:ascii="Times New Roman" w:hAnsi="Times New Roman"/>
          <w:lang w:val="en-GB"/>
        </w:rPr>
        <w:t xml:space="preserve"> A. von Bogdandy, ‘</w:t>
      </w:r>
      <w:r w:rsidRPr="002065E9">
        <w:rPr>
          <w:rFonts w:ascii="Times New Roman" w:hAnsi="Times New Roman"/>
          <w:lang w:val="en-GB"/>
        </w:rPr>
        <w:t>The European Union as a Human Right Organization?</w:t>
      </w:r>
      <w:r>
        <w:rPr>
          <w:rFonts w:ascii="Times New Roman" w:hAnsi="Times New Roman"/>
          <w:lang w:val="en-GB"/>
        </w:rPr>
        <w:t>’</w:t>
      </w:r>
      <w:r w:rsidRPr="002065E9">
        <w:rPr>
          <w:rFonts w:ascii="Times New Roman" w:hAnsi="Times New Roman"/>
          <w:lang w:val="en-GB"/>
        </w:rPr>
        <w:t xml:space="preserve">, </w:t>
      </w:r>
      <w:r w:rsidRPr="002065E9">
        <w:rPr>
          <w:rFonts w:ascii="Times New Roman" w:hAnsi="Times New Roman"/>
          <w:i/>
          <w:lang w:val="en-GB"/>
        </w:rPr>
        <w:t>Common Market Law Review</w:t>
      </w:r>
      <w:r>
        <w:rPr>
          <w:rFonts w:ascii="Times New Roman" w:hAnsi="Times New Roman"/>
          <w:lang w:val="en-GB"/>
        </w:rPr>
        <w:t>, 37 (</w:t>
      </w:r>
      <w:r w:rsidRPr="002065E9">
        <w:rPr>
          <w:rFonts w:ascii="Times New Roman" w:hAnsi="Times New Roman"/>
          <w:lang w:val="en-GB"/>
        </w:rPr>
        <w:t>2000</w:t>
      </w:r>
      <w:r>
        <w:rPr>
          <w:rFonts w:ascii="Times New Roman" w:hAnsi="Times New Roman"/>
          <w:lang w:val="en-GB"/>
        </w:rPr>
        <w:t>)</w:t>
      </w:r>
      <w:r w:rsidRPr="002065E9">
        <w:rPr>
          <w:rFonts w:ascii="Times New Roman" w:hAnsi="Times New Roman"/>
          <w:lang w:val="en-GB"/>
        </w:rPr>
        <w:t xml:space="preserve">, 1307–1338, </w:t>
      </w:r>
      <w:r>
        <w:rPr>
          <w:rFonts w:ascii="Times New Roman" w:hAnsi="Times New Roman"/>
          <w:lang w:val="en-GB"/>
        </w:rPr>
        <w:t xml:space="preserve">at </w:t>
      </w:r>
      <w:r w:rsidRPr="002065E9">
        <w:rPr>
          <w:rFonts w:ascii="Times New Roman" w:hAnsi="Times New Roman"/>
          <w:lang w:val="en-GB"/>
        </w:rPr>
        <w:t>1325.</w:t>
      </w:r>
    </w:p>
  </w:footnote>
  <w:footnote w:id="134">
    <w:p w:rsidR="005E6612" w:rsidRDefault="005E6612" w:rsidP="00B27D8E">
      <w:pPr>
        <w:pStyle w:val="Testonotaapidipagina"/>
        <w:jc w:val="both"/>
      </w:pPr>
      <w:r w:rsidRPr="002065E9">
        <w:rPr>
          <w:rStyle w:val="Rimandonotaapidipagina"/>
          <w:rFonts w:ascii="Times New Roman" w:hAnsi="Times New Roman"/>
          <w:lang w:val="en-GB"/>
        </w:rPr>
        <w:footnoteRef/>
      </w:r>
      <w:r w:rsidRPr="002065E9">
        <w:rPr>
          <w:rFonts w:ascii="Times New Roman" w:hAnsi="Times New Roman"/>
          <w:lang w:val="en-GB"/>
        </w:rPr>
        <w:t xml:space="preserve"> Ibid, 1321. B. de Witte, </w:t>
      </w:r>
      <w:r>
        <w:rPr>
          <w:rFonts w:ascii="Times New Roman" w:hAnsi="Times New Roman"/>
          <w:lang w:val="en-GB"/>
        </w:rPr>
        <w:t>‘</w:t>
      </w:r>
      <w:r w:rsidRPr="002065E9">
        <w:rPr>
          <w:rFonts w:ascii="Times New Roman" w:hAnsi="Times New Roman"/>
          <w:lang w:val="en-GB"/>
        </w:rPr>
        <w:t>The Past and Future Role of the European Court of Justice in the Protection of Human Rights</w:t>
      </w:r>
      <w:r>
        <w:rPr>
          <w:rFonts w:ascii="Times New Roman" w:hAnsi="Times New Roman"/>
          <w:lang w:val="en-GB"/>
        </w:rPr>
        <w:t>’</w:t>
      </w:r>
      <w:r w:rsidRPr="002065E9">
        <w:rPr>
          <w:rFonts w:ascii="Times New Roman" w:hAnsi="Times New Roman"/>
          <w:lang w:val="en-GB"/>
        </w:rPr>
        <w:t xml:space="preserve">, in P. Alston (ed.), </w:t>
      </w:r>
      <w:r w:rsidRPr="002065E9">
        <w:rPr>
          <w:rFonts w:ascii="Times New Roman" w:hAnsi="Times New Roman"/>
          <w:i/>
          <w:lang w:val="en-GB"/>
        </w:rPr>
        <w:t>The EU and Human Rights</w:t>
      </w:r>
      <w:r>
        <w:rPr>
          <w:rFonts w:ascii="Times New Roman" w:hAnsi="Times New Roman"/>
          <w:lang w:val="en-GB"/>
        </w:rPr>
        <w:t xml:space="preserve"> (</w:t>
      </w:r>
      <w:r w:rsidRPr="002065E9">
        <w:rPr>
          <w:rFonts w:ascii="Times New Roman" w:hAnsi="Times New Roman"/>
          <w:lang w:val="en-GB"/>
        </w:rPr>
        <w:t>Oxford</w:t>
      </w:r>
      <w:r>
        <w:rPr>
          <w:rFonts w:ascii="Times New Roman" w:hAnsi="Times New Roman"/>
          <w:lang w:val="en-GB"/>
        </w:rPr>
        <w:t xml:space="preserve"> University Press</w:t>
      </w:r>
      <w:r w:rsidRPr="002065E9">
        <w:rPr>
          <w:rFonts w:ascii="Times New Roman" w:hAnsi="Times New Roman"/>
          <w:lang w:val="en-GB"/>
        </w:rPr>
        <w:t>, 1999</w:t>
      </w:r>
      <w:r>
        <w:rPr>
          <w:rFonts w:ascii="Times New Roman" w:hAnsi="Times New Roman"/>
          <w:lang w:val="en-GB"/>
        </w:rPr>
        <w:t>)</w:t>
      </w:r>
      <w:r w:rsidRPr="002065E9">
        <w:rPr>
          <w:rFonts w:ascii="Times New Roman" w:hAnsi="Times New Roman"/>
          <w:lang w:val="en-GB"/>
        </w:rPr>
        <w:t>, 859–897.</w:t>
      </w:r>
    </w:p>
  </w:footnote>
  <w:footnote w:id="135">
    <w:p w:rsidR="005E6612" w:rsidRDefault="005E6612" w:rsidP="00B27D8E">
      <w:pPr>
        <w:pStyle w:val="Testonotaapidipagina"/>
        <w:jc w:val="both"/>
      </w:pPr>
      <w:r w:rsidRPr="002065E9">
        <w:rPr>
          <w:rStyle w:val="Rimandonotaapidipagina"/>
          <w:rFonts w:ascii="Times New Roman" w:hAnsi="Times New Roman"/>
          <w:lang w:val="en-GB"/>
        </w:rPr>
        <w:footnoteRef/>
      </w:r>
      <w:r w:rsidRPr="002065E9">
        <w:rPr>
          <w:rFonts w:ascii="Times New Roman" w:hAnsi="Times New Roman"/>
          <w:lang w:val="en-GB"/>
        </w:rPr>
        <w:t xml:space="preserve"> A. von Bogdandy, </w:t>
      </w:r>
      <w:r>
        <w:rPr>
          <w:rFonts w:ascii="Times New Roman" w:hAnsi="Times New Roman"/>
          <w:lang w:val="en-GB"/>
        </w:rPr>
        <w:t>‘</w:t>
      </w:r>
      <w:r w:rsidRPr="002065E9">
        <w:rPr>
          <w:rFonts w:ascii="Times New Roman" w:hAnsi="Times New Roman"/>
          <w:lang w:val="en-GB"/>
        </w:rPr>
        <w:t>Founding Principles</w:t>
      </w:r>
      <w:r>
        <w:rPr>
          <w:rFonts w:ascii="Times New Roman" w:hAnsi="Times New Roman"/>
          <w:lang w:val="en-GB"/>
        </w:rPr>
        <w:t>’</w:t>
      </w:r>
      <w:r w:rsidRPr="002065E9">
        <w:rPr>
          <w:rFonts w:ascii="Times New Roman" w:hAnsi="Times New Roman"/>
          <w:lang w:val="en-GB"/>
        </w:rPr>
        <w:t xml:space="preserve">, in </w:t>
      </w:r>
      <w:r w:rsidRPr="00D73610">
        <w:rPr>
          <w:rFonts w:ascii="Times New Roman" w:hAnsi="Times New Roman"/>
          <w:lang w:val="en-GB"/>
        </w:rPr>
        <w:t xml:space="preserve">A. von Bogdandy, J. Bast (eds.), </w:t>
      </w:r>
      <w:r w:rsidRPr="00D73610">
        <w:rPr>
          <w:rFonts w:ascii="Times New Roman" w:hAnsi="Times New Roman"/>
          <w:i/>
          <w:lang w:val="en-GB"/>
        </w:rPr>
        <w:t>Principles of European Constitutional Law</w:t>
      </w:r>
      <w:r w:rsidRPr="00D73610">
        <w:rPr>
          <w:rFonts w:ascii="Times New Roman" w:hAnsi="Times New Roman"/>
          <w:lang w:val="en-GB"/>
        </w:rPr>
        <w:t>, 2nd ed.</w:t>
      </w:r>
      <w:r>
        <w:rPr>
          <w:rFonts w:ascii="Times New Roman" w:hAnsi="Times New Roman"/>
          <w:lang w:val="en-GB"/>
        </w:rPr>
        <w:t xml:space="preserve"> (</w:t>
      </w:r>
      <w:r w:rsidRPr="00D73610">
        <w:rPr>
          <w:rFonts w:ascii="Times New Roman" w:hAnsi="Times New Roman"/>
          <w:lang w:val="en-GB"/>
        </w:rPr>
        <w:t>Oxford and München</w:t>
      </w:r>
      <w:r>
        <w:rPr>
          <w:rFonts w:ascii="Times New Roman" w:hAnsi="Times New Roman"/>
          <w:lang w:val="en-GB"/>
        </w:rPr>
        <w:t>:</w:t>
      </w:r>
      <w:r w:rsidRPr="00D73610">
        <w:rPr>
          <w:rFonts w:ascii="Times New Roman" w:hAnsi="Times New Roman"/>
          <w:lang w:val="en-GB"/>
        </w:rPr>
        <w:t xml:space="preserve"> Hart and Beck, 2009</w:t>
      </w:r>
      <w:r>
        <w:rPr>
          <w:rFonts w:ascii="Times New Roman" w:hAnsi="Times New Roman"/>
          <w:lang w:val="en-GB"/>
        </w:rPr>
        <w:t>)</w:t>
      </w:r>
      <w:r w:rsidRPr="002065E9">
        <w:rPr>
          <w:rFonts w:ascii="Times New Roman" w:hAnsi="Times New Roman"/>
          <w:lang w:val="en-GB"/>
        </w:rPr>
        <w:t xml:space="preserve">, 11–54, </w:t>
      </w:r>
      <w:r>
        <w:rPr>
          <w:rFonts w:ascii="Times New Roman" w:hAnsi="Times New Roman"/>
          <w:lang w:val="en-GB"/>
        </w:rPr>
        <w:t xml:space="preserve">at </w:t>
      </w:r>
      <w:r w:rsidRPr="002065E9">
        <w:rPr>
          <w:rFonts w:ascii="Times New Roman" w:hAnsi="Times New Roman"/>
          <w:lang w:val="en-GB"/>
        </w:rPr>
        <w:t xml:space="preserve">28; </w:t>
      </w:r>
      <w:r w:rsidRPr="002065E9">
        <w:rPr>
          <w:rFonts w:ascii="Times New Roman" w:hAnsi="Times New Roman"/>
          <w:iCs/>
          <w:lang w:val="en-GB"/>
        </w:rPr>
        <w:t xml:space="preserve">L. Pech, </w:t>
      </w:r>
      <w:r>
        <w:rPr>
          <w:rFonts w:ascii="Times New Roman" w:hAnsi="Times New Roman"/>
          <w:iCs/>
          <w:lang w:val="en-GB"/>
        </w:rPr>
        <w:t>‘</w:t>
      </w:r>
      <w:r w:rsidRPr="002065E9">
        <w:rPr>
          <w:rFonts w:ascii="Times New Roman" w:hAnsi="Times New Roman"/>
          <w:iCs/>
          <w:lang w:val="en-GB"/>
        </w:rPr>
        <w:t>A Union Founded on the Rule of Law: Meaning and Reality of the Rule of Law as a Constitutional Principle of EU Law</w:t>
      </w:r>
      <w:r>
        <w:rPr>
          <w:rFonts w:ascii="Times New Roman" w:hAnsi="Times New Roman"/>
          <w:iCs/>
          <w:lang w:val="en-GB"/>
        </w:rPr>
        <w:t>’</w:t>
      </w:r>
      <w:r w:rsidRPr="002065E9">
        <w:rPr>
          <w:rFonts w:ascii="Times New Roman" w:hAnsi="Times New Roman"/>
          <w:iCs/>
          <w:lang w:val="en-GB"/>
        </w:rPr>
        <w:t xml:space="preserve">, </w:t>
      </w:r>
      <w:r w:rsidRPr="002065E9">
        <w:rPr>
          <w:rFonts w:ascii="Times New Roman" w:hAnsi="Times New Roman"/>
          <w:i/>
          <w:iCs/>
          <w:lang w:val="en-GB"/>
        </w:rPr>
        <w:t>European Constitutional Law Review</w:t>
      </w:r>
      <w:r w:rsidRPr="002065E9">
        <w:rPr>
          <w:rFonts w:ascii="Times New Roman" w:hAnsi="Times New Roman"/>
          <w:iCs/>
          <w:lang w:val="en-GB"/>
        </w:rPr>
        <w:t xml:space="preserve">, </w:t>
      </w:r>
      <w:r>
        <w:rPr>
          <w:rFonts w:ascii="Times New Roman" w:hAnsi="Times New Roman"/>
          <w:iCs/>
          <w:lang w:val="en-GB"/>
        </w:rPr>
        <w:t>6 (</w:t>
      </w:r>
      <w:r w:rsidRPr="002065E9">
        <w:rPr>
          <w:rFonts w:ascii="Times New Roman" w:hAnsi="Times New Roman"/>
          <w:iCs/>
          <w:lang w:val="en-GB"/>
        </w:rPr>
        <w:t>2010</w:t>
      </w:r>
      <w:r>
        <w:rPr>
          <w:rFonts w:ascii="Times New Roman" w:hAnsi="Times New Roman"/>
          <w:iCs/>
          <w:lang w:val="en-GB"/>
        </w:rPr>
        <w:t>)</w:t>
      </w:r>
      <w:r w:rsidRPr="002065E9">
        <w:rPr>
          <w:rFonts w:ascii="Times New Roman" w:hAnsi="Times New Roman"/>
          <w:iCs/>
          <w:lang w:val="en-GB"/>
        </w:rPr>
        <w:t xml:space="preserve">, </w:t>
      </w:r>
      <w:r w:rsidRPr="002065E9">
        <w:rPr>
          <w:rFonts w:ascii="Times New Roman" w:hAnsi="Times New Roman"/>
          <w:lang w:val="en-GB"/>
        </w:rPr>
        <w:t>359–396</w:t>
      </w:r>
      <w:r w:rsidRPr="002065E9">
        <w:rPr>
          <w:rFonts w:ascii="Times New Roman" w:hAnsi="Times New Roman"/>
          <w:iCs/>
          <w:lang w:val="en-GB"/>
        </w:rPr>
        <w:t xml:space="preserve">, </w:t>
      </w:r>
      <w:r>
        <w:rPr>
          <w:rFonts w:ascii="Times New Roman" w:hAnsi="Times New Roman"/>
          <w:iCs/>
          <w:lang w:val="en-GB"/>
        </w:rPr>
        <w:t xml:space="preserve">at </w:t>
      </w:r>
      <w:r w:rsidRPr="002065E9">
        <w:rPr>
          <w:rFonts w:ascii="Times New Roman" w:hAnsi="Times New Roman"/>
          <w:iCs/>
          <w:lang w:val="en-GB"/>
        </w:rPr>
        <w:t>362.</w:t>
      </w:r>
    </w:p>
  </w:footnote>
  <w:footnote w:id="136">
    <w:p w:rsidR="005E6612" w:rsidRDefault="005E6612" w:rsidP="00B27D8E">
      <w:pPr>
        <w:pStyle w:val="Testonotaapidipagina"/>
        <w:jc w:val="both"/>
      </w:pPr>
      <w:r w:rsidRPr="002065E9">
        <w:rPr>
          <w:rStyle w:val="Rimandonotaapidipagina"/>
          <w:rFonts w:ascii="Times New Roman" w:hAnsi="Times New Roman"/>
          <w:lang w:val="en-GB"/>
        </w:rPr>
        <w:footnoteRef/>
      </w:r>
      <w:r w:rsidRPr="002065E9">
        <w:rPr>
          <w:rFonts w:ascii="Times New Roman" w:hAnsi="Times New Roman"/>
          <w:lang w:val="en-GB"/>
        </w:rPr>
        <w:t xml:space="preserve"> </w:t>
      </w:r>
      <w:r w:rsidRPr="002065E9">
        <w:rPr>
          <w:rFonts w:ascii="Times New Roman" w:hAnsi="Times New Roman"/>
          <w:i/>
          <w:lang w:val="en-GB"/>
        </w:rPr>
        <w:t xml:space="preserve">Les Verts </w:t>
      </w:r>
      <w:r w:rsidRPr="002065E9">
        <w:rPr>
          <w:rFonts w:ascii="Times New Roman" w:hAnsi="Times New Roman"/>
          <w:lang w:val="en-GB"/>
        </w:rPr>
        <w:t xml:space="preserve">[1986], </w:t>
      </w:r>
      <w:r>
        <w:rPr>
          <w:rFonts w:ascii="Times New Roman" w:hAnsi="Times New Roman"/>
          <w:lang w:val="en-GB"/>
        </w:rPr>
        <w:t>para.</w:t>
      </w:r>
      <w:r w:rsidRPr="002065E9">
        <w:rPr>
          <w:rFonts w:ascii="Times New Roman" w:hAnsi="Times New Roman"/>
          <w:lang w:val="en-GB"/>
        </w:rPr>
        <w:t xml:space="preserve"> 23. See also </w:t>
      </w:r>
      <w:r w:rsidRPr="002065E9">
        <w:rPr>
          <w:rFonts w:ascii="Times New Roman" w:hAnsi="Times New Roman"/>
          <w:i/>
          <w:iCs/>
          <w:lang w:val="en-GB"/>
        </w:rPr>
        <w:t>Foto-Frost</w:t>
      </w:r>
      <w:r w:rsidRPr="002065E9">
        <w:rPr>
          <w:rFonts w:ascii="Times New Roman" w:hAnsi="Times New Roman"/>
          <w:lang w:val="en-GB"/>
        </w:rPr>
        <w:t xml:space="preserve"> [1987], </w:t>
      </w:r>
      <w:r>
        <w:rPr>
          <w:rFonts w:ascii="Times New Roman" w:hAnsi="Times New Roman"/>
          <w:lang w:val="en-GB"/>
        </w:rPr>
        <w:t>para.</w:t>
      </w:r>
      <w:r w:rsidRPr="002065E9">
        <w:rPr>
          <w:rFonts w:ascii="Times New Roman" w:hAnsi="Times New Roman"/>
          <w:lang w:val="en-GB"/>
        </w:rPr>
        <w:t xml:space="preserve"> 16; </w:t>
      </w:r>
      <w:r w:rsidRPr="002065E9">
        <w:rPr>
          <w:rFonts w:ascii="Times New Roman" w:hAnsi="Times New Roman"/>
          <w:i/>
          <w:iCs/>
          <w:lang w:val="en-GB"/>
        </w:rPr>
        <w:t xml:space="preserve">Kadi </w:t>
      </w:r>
      <w:r w:rsidRPr="002065E9">
        <w:rPr>
          <w:rFonts w:ascii="Times New Roman" w:hAnsi="Times New Roman"/>
          <w:lang w:val="en-GB"/>
        </w:rPr>
        <w:t xml:space="preserve">[2008], </w:t>
      </w:r>
      <w:r>
        <w:rPr>
          <w:rFonts w:ascii="Times New Roman" w:hAnsi="Times New Roman"/>
          <w:lang w:val="en-GB"/>
        </w:rPr>
        <w:t>para.</w:t>
      </w:r>
      <w:r w:rsidRPr="002065E9">
        <w:rPr>
          <w:rFonts w:ascii="Times New Roman" w:hAnsi="Times New Roman"/>
          <w:lang w:val="en-GB"/>
        </w:rPr>
        <w:t xml:space="preserve"> 281. See also </w:t>
      </w:r>
      <w:r w:rsidRPr="002065E9">
        <w:rPr>
          <w:rFonts w:ascii="Times New Roman" w:hAnsi="Times New Roman"/>
          <w:bCs/>
          <w:i/>
          <w:iCs/>
          <w:lang w:val="en-GB"/>
        </w:rPr>
        <w:t>Advocaten voor de Wereld</w:t>
      </w:r>
      <w:r w:rsidRPr="002065E9">
        <w:rPr>
          <w:rFonts w:ascii="Times New Roman" w:hAnsi="Times New Roman"/>
          <w:bCs/>
          <w:iCs/>
          <w:lang w:val="en-GB"/>
        </w:rPr>
        <w:t xml:space="preserve"> [2007], </w:t>
      </w:r>
      <w:r>
        <w:rPr>
          <w:rFonts w:ascii="Times New Roman" w:hAnsi="Times New Roman"/>
          <w:bCs/>
          <w:iCs/>
          <w:lang w:val="en-GB"/>
        </w:rPr>
        <w:t>para.</w:t>
      </w:r>
      <w:r w:rsidRPr="002065E9">
        <w:rPr>
          <w:rFonts w:ascii="Times New Roman" w:hAnsi="Times New Roman"/>
          <w:bCs/>
          <w:iCs/>
          <w:lang w:val="en-GB"/>
        </w:rPr>
        <w:t xml:space="preserve"> </w:t>
      </w:r>
      <w:r w:rsidRPr="007945B9">
        <w:rPr>
          <w:rFonts w:ascii="Times New Roman" w:hAnsi="Times New Roman"/>
          <w:bCs/>
          <w:iCs/>
          <w:lang w:val="en-GB"/>
        </w:rPr>
        <w:t xml:space="preserve">45 for a similar formulation. </w:t>
      </w:r>
    </w:p>
  </w:footnote>
  <w:footnote w:id="137">
    <w:p w:rsidR="005E6612" w:rsidRDefault="005E6612" w:rsidP="00B27D8E">
      <w:pPr>
        <w:pStyle w:val="Testonotaapidipagina"/>
        <w:jc w:val="both"/>
      </w:pPr>
      <w:r w:rsidRPr="002065E9">
        <w:rPr>
          <w:rStyle w:val="Rimandonotaapidipagina"/>
          <w:rFonts w:ascii="Times New Roman" w:hAnsi="Times New Roman"/>
          <w:lang w:val="en-GB"/>
        </w:rPr>
        <w:footnoteRef/>
      </w:r>
      <w:r w:rsidRPr="007945B9">
        <w:rPr>
          <w:rFonts w:ascii="Times New Roman" w:hAnsi="Times New Roman"/>
          <w:lang w:val="en-GB"/>
        </w:rPr>
        <w:t xml:space="preserve"> </w:t>
      </w:r>
      <w:r w:rsidRPr="007945B9">
        <w:rPr>
          <w:rFonts w:ascii="Times New Roman" w:hAnsi="Times New Roman"/>
          <w:i/>
          <w:iCs/>
          <w:lang w:val="en-GB"/>
        </w:rPr>
        <w:t>Costa</w:t>
      </w:r>
      <w:r w:rsidRPr="007945B9">
        <w:rPr>
          <w:rFonts w:ascii="Times New Roman" w:hAnsi="Times New Roman"/>
          <w:lang w:val="en-GB"/>
        </w:rPr>
        <w:t xml:space="preserve"> [1964], 593 f. </w:t>
      </w:r>
    </w:p>
  </w:footnote>
  <w:footnote w:id="138">
    <w:p w:rsidR="005E6612" w:rsidRDefault="005E6612" w:rsidP="00B27D8E">
      <w:pPr>
        <w:pStyle w:val="Testonotaapidipagina"/>
        <w:jc w:val="both"/>
      </w:pPr>
      <w:r w:rsidRPr="002065E9">
        <w:rPr>
          <w:rStyle w:val="Rimandonotaapidipagina"/>
          <w:rFonts w:ascii="Times New Roman" w:hAnsi="Times New Roman"/>
          <w:lang w:val="en-GB"/>
        </w:rPr>
        <w:footnoteRef/>
      </w:r>
      <w:r w:rsidRPr="007945B9">
        <w:rPr>
          <w:rFonts w:ascii="Times New Roman" w:hAnsi="Times New Roman"/>
          <w:lang w:val="en-GB"/>
        </w:rPr>
        <w:t xml:space="preserve"> </w:t>
      </w:r>
      <w:r w:rsidRPr="007945B9">
        <w:rPr>
          <w:rFonts w:ascii="Times New Roman" w:hAnsi="Times New Roman"/>
          <w:iCs/>
          <w:lang w:val="en-GB"/>
        </w:rPr>
        <w:t xml:space="preserve">Case C-101/78, </w:t>
      </w:r>
      <w:r w:rsidRPr="007945B9">
        <w:rPr>
          <w:rFonts w:ascii="Times New Roman" w:hAnsi="Times New Roman"/>
          <w:i/>
          <w:iCs/>
          <w:lang w:val="en-GB"/>
        </w:rPr>
        <w:t xml:space="preserve">Granaria </w:t>
      </w:r>
      <w:r w:rsidRPr="007945B9">
        <w:rPr>
          <w:rFonts w:ascii="Times New Roman" w:hAnsi="Times New Roman"/>
          <w:iCs/>
          <w:lang w:val="en-GB"/>
        </w:rPr>
        <w:t>[1979] ECR 623, para. 5.</w:t>
      </w:r>
    </w:p>
  </w:footnote>
  <w:footnote w:id="139">
    <w:p w:rsidR="005E6612" w:rsidRDefault="005E6612" w:rsidP="00B27D8E">
      <w:pPr>
        <w:pStyle w:val="Testonotaapidipagina"/>
        <w:jc w:val="both"/>
      </w:pPr>
      <w:r w:rsidRPr="002065E9">
        <w:rPr>
          <w:rStyle w:val="Rimandonotaapidipagina"/>
          <w:rFonts w:ascii="Times New Roman" w:hAnsi="Times New Roman"/>
          <w:lang w:val="en-GB"/>
        </w:rPr>
        <w:footnoteRef/>
      </w:r>
      <w:r w:rsidRPr="007945B9">
        <w:rPr>
          <w:rFonts w:ascii="Times New Roman" w:hAnsi="Times New Roman"/>
          <w:lang w:val="en-GB"/>
        </w:rPr>
        <w:t xml:space="preserve"> </w:t>
      </w:r>
      <w:r w:rsidRPr="007945B9">
        <w:rPr>
          <w:rFonts w:ascii="Times New Roman" w:hAnsi="Times New Roman"/>
          <w:i/>
          <w:iCs/>
          <w:lang w:val="en-GB"/>
        </w:rPr>
        <w:t>Internationale Handelsgesellschaft</w:t>
      </w:r>
      <w:r w:rsidRPr="007945B9">
        <w:rPr>
          <w:rFonts w:ascii="Times New Roman" w:hAnsi="Times New Roman"/>
          <w:lang w:val="en-GB"/>
        </w:rPr>
        <w:t xml:space="preserve"> [1970], para. 3</w:t>
      </w:r>
    </w:p>
  </w:footnote>
  <w:footnote w:id="140">
    <w:p w:rsidR="005E6612" w:rsidRDefault="005E6612" w:rsidP="00B27D8E">
      <w:pPr>
        <w:pStyle w:val="Testonotaapidipagina"/>
        <w:jc w:val="both"/>
      </w:pPr>
      <w:r w:rsidRPr="002065E9">
        <w:rPr>
          <w:rStyle w:val="Rimandonotaapidipagina"/>
          <w:rFonts w:ascii="Times New Roman" w:hAnsi="Times New Roman"/>
          <w:lang w:val="en-GB"/>
        </w:rPr>
        <w:footnoteRef/>
      </w:r>
      <w:r w:rsidRPr="007945B9">
        <w:rPr>
          <w:rFonts w:ascii="Times New Roman" w:hAnsi="Times New Roman"/>
          <w:lang w:val="en-GB"/>
        </w:rPr>
        <w:t xml:space="preserve"> </w:t>
      </w:r>
      <w:r w:rsidRPr="007945B9">
        <w:rPr>
          <w:rFonts w:ascii="Times New Roman" w:hAnsi="Times New Roman"/>
          <w:i/>
          <w:lang w:val="en-GB"/>
        </w:rPr>
        <w:t xml:space="preserve">Brasserie du Pêcheur </w:t>
      </w:r>
      <w:r w:rsidRPr="007945B9">
        <w:rPr>
          <w:rFonts w:ascii="Times New Roman" w:hAnsi="Times New Roman"/>
          <w:lang w:val="en-GB"/>
        </w:rPr>
        <w:t>[1996], para. 33.</w:t>
      </w:r>
    </w:p>
  </w:footnote>
  <w:footnote w:id="141">
    <w:p w:rsidR="005E6612" w:rsidRDefault="005E6612" w:rsidP="00B27D8E">
      <w:pPr>
        <w:pStyle w:val="Testonotaapidipagina"/>
        <w:jc w:val="both"/>
      </w:pPr>
      <w:r w:rsidRPr="002065E9">
        <w:rPr>
          <w:rStyle w:val="Rimandonotaapidipagina"/>
          <w:rFonts w:ascii="Times New Roman" w:hAnsi="Times New Roman"/>
          <w:lang w:val="en-GB"/>
        </w:rPr>
        <w:footnoteRef/>
      </w:r>
      <w:r w:rsidRPr="007945B9">
        <w:rPr>
          <w:rFonts w:ascii="Times New Roman" w:hAnsi="Times New Roman"/>
          <w:lang w:val="en-GB"/>
        </w:rPr>
        <w:t xml:space="preserve"> </w:t>
      </w:r>
      <w:r w:rsidRPr="007945B9">
        <w:rPr>
          <w:rFonts w:ascii="Times New Roman" w:hAnsi="Times New Roman"/>
          <w:i/>
          <w:iCs/>
          <w:lang w:val="en-GB"/>
        </w:rPr>
        <w:t>Foto-Frost</w:t>
      </w:r>
      <w:r w:rsidRPr="007945B9">
        <w:rPr>
          <w:rFonts w:ascii="Times New Roman" w:hAnsi="Times New Roman"/>
          <w:lang w:val="en-GB"/>
        </w:rPr>
        <w:t xml:space="preserve"> [1987], para. 15.</w:t>
      </w:r>
    </w:p>
  </w:footnote>
  <w:footnote w:id="142">
    <w:p w:rsidR="005E6612" w:rsidRDefault="005E6612" w:rsidP="00B27D8E">
      <w:pPr>
        <w:pStyle w:val="Testonotaapidipagina"/>
        <w:jc w:val="both"/>
      </w:pPr>
      <w:r w:rsidRPr="002065E9">
        <w:rPr>
          <w:rStyle w:val="Rimandonotaapidipagina"/>
          <w:rFonts w:ascii="Times New Roman" w:hAnsi="Times New Roman"/>
          <w:lang w:val="en-GB"/>
        </w:rPr>
        <w:footnoteRef/>
      </w:r>
      <w:r w:rsidRPr="007945B9">
        <w:rPr>
          <w:rFonts w:ascii="Times New Roman" w:hAnsi="Times New Roman"/>
          <w:lang w:val="en-GB"/>
        </w:rPr>
        <w:t xml:space="preserve"> </w:t>
      </w:r>
      <w:r w:rsidRPr="007945B9">
        <w:rPr>
          <w:rFonts w:ascii="Times New Roman" w:hAnsi="Times New Roman"/>
          <w:i/>
          <w:iCs/>
          <w:lang w:val="en-GB"/>
        </w:rPr>
        <w:t>Barber</w:t>
      </w:r>
      <w:r w:rsidRPr="007945B9">
        <w:rPr>
          <w:rFonts w:ascii="Times New Roman" w:hAnsi="Times New Roman"/>
          <w:lang w:val="en-GB"/>
        </w:rPr>
        <w:t xml:space="preserve"> [1990], para. </w:t>
      </w:r>
      <w:r w:rsidRPr="002065E9">
        <w:rPr>
          <w:rFonts w:ascii="Times New Roman" w:hAnsi="Times New Roman"/>
          <w:lang w:val="en-GB"/>
        </w:rPr>
        <w:t xml:space="preserve">44; </w:t>
      </w:r>
      <w:r w:rsidRPr="002065E9">
        <w:rPr>
          <w:rFonts w:ascii="Times New Roman" w:hAnsi="Times New Roman"/>
          <w:i/>
          <w:iCs/>
          <w:lang w:val="en-GB"/>
        </w:rPr>
        <w:t xml:space="preserve">Bosman </w:t>
      </w:r>
      <w:r w:rsidRPr="002065E9">
        <w:rPr>
          <w:rFonts w:ascii="Times New Roman" w:hAnsi="Times New Roman"/>
          <w:lang w:val="en-GB"/>
        </w:rPr>
        <w:t xml:space="preserve">[1995], </w:t>
      </w:r>
      <w:r>
        <w:rPr>
          <w:rFonts w:ascii="Times New Roman" w:hAnsi="Times New Roman"/>
          <w:lang w:val="en-GB"/>
        </w:rPr>
        <w:t>para.</w:t>
      </w:r>
      <w:r w:rsidRPr="002065E9">
        <w:rPr>
          <w:rFonts w:ascii="Times New Roman" w:hAnsi="Times New Roman"/>
          <w:lang w:val="en-GB"/>
        </w:rPr>
        <w:t xml:space="preserve"> 144. See also </w:t>
      </w:r>
      <w:r w:rsidRPr="002065E9">
        <w:rPr>
          <w:rFonts w:ascii="Times New Roman" w:hAnsi="Times New Roman"/>
          <w:i/>
          <w:iCs/>
          <w:lang w:val="en-GB"/>
        </w:rPr>
        <w:t>Defrenne II</w:t>
      </w:r>
      <w:r w:rsidRPr="002065E9">
        <w:rPr>
          <w:rFonts w:ascii="Times New Roman" w:hAnsi="Times New Roman"/>
          <w:lang w:val="en-GB"/>
        </w:rPr>
        <w:t xml:space="preserve"> [1976], </w:t>
      </w:r>
      <w:r>
        <w:rPr>
          <w:rFonts w:ascii="Times New Roman" w:hAnsi="Times New Roman"/>
          <w:lang w:val="en-GB"/>
        </w:rPr>
        <w:t>para.</w:t>
      </w:r>
      <w:r w:rsidRPr="002065E9">
        <w:rPr>
          <w:rFonts w:ascii="Times New Roman" w:hAnsi="Times New Roman"/>
          <w:lang w:val="en-GB"/>
        </w:rPr>
        <w:t xml:space="preserve"> 74.</w:t>
      </w:r>
    </w:p>
  </w:footnote>
  <w:footnote w:id="143">
    <w:p w:rsidR="005E6612" w:rsidRDefault="005E6612" w:rsidP="00B27D8E">
      <w:pPr>
        <w:pStyle w:val="Testonotaapidipagina"/>
        <w:jc w:val="both"/>
      </w:pPr>
      <w:r w:rsidRPr="002065E9">
        <w:rPr>
          <w:rStyle w:val="Rimandonotaapidipagina"/>
          <w:rFonts w:ascii="Times New Roman" w:hAnsi="Times New Roman"/>
          <w:lang w:val="en-GB"/>
        </w:rPr>
        <w:footnoteRef/>
      </w:r>
      <w:r w:rsidRPr="002065E9">
        <w:rPr>
          <w:rFonts w:ascii="Times New Roman" w:hAnsi="Times New Roman"/>
          <w:lang w:val="en-GB"/>
        </w:rPr>
        <w:t xml:space="preserve"> J.H.H. Weiler, </w:t>
      </w:r>
      <w:r>
        <w:rPr>
          <w:rFonts w:ascii="Times New Roman" w:hAnsi="Times New Roman"/>
          <w:lang w:val="en-GB"/>
        </w:rPr>
        <w:t>‘</w:t>
      </w:r>
      <w:r w:rsidRPr="002065E9">
        <w:rPr>
          <w:rFonts w:ascii="Times New Roman" w:hAnsi="Times New Roman"/>
          <w:lang w:val="en-GB"/>
        </w:rPr>
        <w:t>The Court of Justice on Trial</w:t>
      </w:r>
      <w:r>
        <w:rPr>
          <w:rFonts w:ascii="Times New Roman" w:hAnsi="Times New Roman"/>
          <w:lang w:val="en-GB"/>
        </w:rPr>
        <w:t>’</w:t>
      </w:r>
      <w:r w:rsidRPr="002065E9">
        <w:rPr>
          <w:rFonts w:ascii="Times New Roman" w:hAnsi="Times New Roman"/>
          <w:lang w:val="en-GB"/>
        </w:rPr>
        <w:t xml:space="preserve">, </w:t>
      </w:r>
      <w:r w:rsidRPr="002065E9">
        <w:rPr>
          <w:rFonts w:ascii="Times New Roman" w:hAnsi="Times New Roman"/>
          <w:i/>
          <w:lang w:val="en-GB"/>
        </w:rPr>
        <w:t>Common Market Law Review</w:t>
      </w:r>
      <w:r>
        <w:rPr>
          <w:rFonts w:ascii="Times New Roman" w:hAnsi="Times New Roman"/>
          <w:lang w:val="en-GB"/>
        </w:rPr>
        <w:t>, 24 (</w:t>
      </w:r>
      <w:r w:rsidRPr="002065E9">
        <w:rPr>
          <w:rFonts w:ascii="Times New Roman" w:hAnsi="Times New Roman"/>
          <w:lang w:val="en-GB"/>
        </w:rPr>
        <w:t>1987</w:t>
      </w:r>
      <w:r>
        <w:rPr>
          <w:rFonts w:ascii="Times New Roman" w:hAnsi="Times New Roman"/>
          <w:lang w:val="en-GB"/>
        </w:rPr>
        <w:t>)</w:t>
      </w:r>
      <w:r w:rsidRPr="002065E9">
        <w:rPr>
          <w:rFonts w:ascii="Times New Roman" w:hAnsi="Times New Roman"/>
          <w:lang w:val="en-GB"/>
        </w:rPr>
        <w:t xml:space="preserve">, 555-589, </w:t>
      </w:r>
      <w:r>
        <w:rPr>
          <w:rFonts w:ascii="Times New Roman" w:hAnsi="Times New Roman"/>
          <w:lang w:val="en-GB"/>
        </w:rPr>
        <w:t xml:space="preserve">at </w:t>
      </w:r>
      <w:r w:rsidRPr="002065E9">
        <w:rPr>
          <w:rFonts w:ascii="Times New Roman" w:hAnsi="Times New Roman"/>
          <w:lang w:val="en-GB"/>
        </w:rPr>
        <w:t>555</w:t>
      </w:r>
      <w:r>
        <w:rPr>
          <w:rFonts w:ascii="Times New Roman" w:hAnsi="Times New Roman"/>
          <w:lang w:val="en-GB"/>
        </w:rPr>
        <w:t xml:space="preserve"> f.</w:t>
      </w:r>
    </w:p>
  </w:footnote>
  <w:footnote w:id="144">
    <w:p w:rsidR="005E6612" w:rsidRDefault="005E6612" w:rsidP="00B27D8E">
      <w:pPr>
        <w:pStyle w:val="Testonotaapidipagina"/>
        <w:jc w:val="both"/>
      </w:pPr>
      <w:r w:rsidRPr="002065E9">
        <w:rPr>
          <w:rStyle w:val="Rimandonotaapidipagina"/>
          <w:rFonts w:ascii="Times New Roman" w:hAnsi="Times New Roman"/>
          <w:lang w:val="en-GB"/>
        </w:rPr>
        <w:footnoteRef/>
      </w:r>
      <w:r w:rsidRPr="002065E9">
        <w:rPr>
          <w:rFonts w:ascii="Times New Roman" w:hAnsi="Times New Roman"/>
          <w:lang w:val="en-GB"/>
        </w:rPr>
        <w:t xml:space="preserve"> </w:t>
      </w:r>
      <w:r w:rsidRPr="002065E9">
        <w:rPr>
          <w:rFonts w:ascii="Times New Roman" w:hAnsi="Times New Roman"/>
          <w:iCs/>
          <w:lang w:val="en-GB"/>
        </w:rPr>
        <w:t xml:space="preserve">M. Rasmussen, </w:t>
      </w:r>
      <w:r>
        <w:rPr>
          <w:rFonts w:ascii="Times New Roman" w:hAnsi="Times New Roman"/>
          <w:iCs/>
          <w:lang w:val="en-GB"/>
        </w:rPr>
        <w:t>‘</w:t>
      </w:r>
      <w:r w:rsidRPr="002065E9">
        <w:rPr>
          <w:rFonts w:ascii="Times New Roman" w:hAnsi="Times New Roman"/>
          <w:iCs/>
          <w:lang w:val="en-GB"/>
        </w:rPr>
        <w:t xml:space="preserve">From </w:t>
      </w:r>
      <w:r w:rsidRPr="002065E9">
        <w:rPr>
          <w:rFonts w:ascii="Times New Roman" w:hAnsi="Times New Roman"/>
          <w:i/>
          <w:iCs/>
          <w:lang w:val="en-GB"/>
        </w:rPr>
        <w:t>Costa v ENEL</w:t>
      </w:r>
      <w:r w:rsidRPr="002065E9">
        <w:rPr>
          <w:rFonts w:ascii="Times New Roman" w:hAnsi="Times New Roman"/>
          <w:iCs/>
          <w:lang w:val="en-GB"/>
        </w:rPr>
        <w:t xml:space="preserve"> to the Treaties of Rome: A Brief History of a Legal Revolution</w:t>
      </w:r>
      <w:r>
        <w:rPr>
          <w:rFonts w:ascii="Times New Roman" w:hAnsi="Times New Roman"/>
          <w:iCs/>
          <w:lang w:val="en-GB"/>
        </w:rPr>
        <w:t>’</w:t>
      </w:r>
      <w:r w:rsidRPr="002065E9">
        <w:rPr>
          <w:rFonts w:ascii="Times New Roman" w:hAnsi="Times New Roman"/>
          <w:iCs/>
          <w:lang w:val="en-GB"/>
        </w:rPr>
        <w:t xml:space="preserve">, in </w:t>
      </w:r>
      <w:r w:rsidRPr="002065E9">
        <w:rPr>
          <w:rFonts w:ascii="Times New Roman" w:hAnsi="Times New Roman"/>
          <w:lang w:val="en-GB"/>
        </w:rPr>
        <w:t xml:space="preserve">Maduro, Azoulai (eds.), </w:t>
      </w:r>
      <w:r w:rsidRPr="002065E9">
        <w:rPr>
          <w:rFonts w:ascii="Times New Roman" w:hAnsi="Times New Roman"/>
          <w:i/>
          <w:lang w:val="en-GB"/>
        </w:rPr>
        <w:t>The Past and Future of EU Law</w:t>
      </w:r>
      <w:r w:rsidRPr="002065E9">
        <w:rPr>
          <w:rFonts w:ascii="Times New Roman" w:hAnsi="Times New Roman"/>
          <w:lang w:val="en-GB"/>
        </w:rPr>
        <w:t>, cit., 69</w:t>
      </w:r>
      <w:r w:rsidRPr="002065E9">
        <w:rPr>
          <w:rFonts w:ascii="Times New Roman" w:hAnsi="Times New Roman"/>
          <w:iCs/>
          <w:lang w:val="en-GB"/>
        </w:rPr>
        <w:t xml:space="preserve">–85, 78; H. Schepel, R. Wesseling, </w:t>
      </w:r>
      <w:r>
        <w:rPr>
          <w:rFonts w:ascii="Times New Roman" w:hAnsi="Times New Roman"/>
          <w:iCs/>
          <w:lang w:val="en-GB"/>
        </w:rPr>
        <w:t>‘</w:t>
      </w:r>
      <w:r w:rsidRPr="002065E9">
        <w:rPr>
          <w:rFonts w:ascii="Times New Roman" w:hAnsi="Times New Roman"/>
          <w:iCs/>
          <w:lang w:val="en-GB"/>
        </w:rPr>
        <w:t>The Legal Community: Judges, Lawyers, Officials and Clerks in the Writing of Europe</w:t>
      </w:r>
      <w:r>
        <w:rPr>
          <w:rFonts w:ascii="Times New Roman" w:hAnsi="Times New Roman"/>
          <w:iCs/>
          <w:lang w:val="en-GB"/>
        </w:rPr>
        <w:t>’</w:t>
      </w:r>
      <w:r w:rsidRPr="002065E9">
        <w:rPr>
          <w:rFonts w:ascii="Times New Roman" w:hAnsi="Times New Roman"/>
          <w:iCs/>
          <w:lang w:val="en-GB"/>
        </w:rPr>
        <w:t xml:space="preserve">, </w:t>
      </w:r>
      <w:r w:rsidRPr="002065E9">
        <w:rPr>
          <w:rFonts w:ascii="Times New Roman" w:hAnsi="Times New Roman"/>
          <w:i/>
          <w:iCs/>
          <w:lang w:val="en-GB"/>
        </w:rPr>
        <w:t>European Law Journal</w:t>
      </w:r>
      <w:r w:rsidRPr="002065E9">
        <w:rPr>
          <w:rFonts w:ascii="Times New Roman" w:hAnsi="Times New Roman"/>
          <w:iCs/>
          <w:lang w:val="en-GB"/>
        </w:rPr>
        <w:t xml:space="preserve">, </w:t>
      </w:r>
      <w:r>
        <w:rPr>
          <w:rFonts w:ascii="Times New Roman" w:hAnsi="Times New Roman"/>
          <w:iCs/>
          <w:lang w:val="en-GB"/>
        </w:rPr>
        <w:t>3 (</w:t>
      </w:r>
      <w:r w:rsidRPr="002065E9">
        <w:rPr>
          <w:rFonts w:ascii="Times New Roman" w:hAnsi="Times New Roman"/>
          <w:iCs/>
          <w:lang w:val="en-GB"/>
        </w:rPr>
        <w:t>1997</w:t>
      </w:r>
      <w:r>
        <w:rPr>
          <w:rFonts w:ascii="Times New Roman" w:hAnsi="Times New Roman"/>
          <w:iCs/>
          <w:lang w:val="en-GB"/>
        </w:rPr>
        <w:t>)</w:t>
      </w:r>
      <w:r w:rsidRPr="002065E9">
        <w:rPr>
          <w:rFonts w:ascii="Times New Roman" w:hAnsi="Times New Roman"/>
          <w:iCs/>
          <w:lang w:val="en-GB"/>
        </w:rPr>
        <w:t xml:space="preserve">, 165-188; Itzcovich, </w:t>
      </w:r>
      <w:r w:rsidRPr="002065E9">
        <w:rPr>
          <w:rFonts w:ascii="Times New Roman" w:hAnsi="Times New Roman"/>
          <w:i/>
          <w:iCs/>
          <w:lang w:val="en-GB"/>
        </w:rPr>
        <w:t>Teorie e ideologie</w:t>
      </w:r>
      <w:r w:rsidRPr="002065E9">
        <w:rPr>
          <w:rFonts w:ascii="Times New Roman" w:hAnsi="Times New Roman"/>
          <w:iCs/>
          <w:lang w:val="en-GB"/>
        </w:rPr>
        <w:t>, cit., 276–307.</w:t>
      </w:r>
    </w:p>
  </w:footnote>
  <w:footnote w:id="145">
    <w:p w:rsidR="005E6612" w:rsidRDefault="005E6612" w:rsidP="00B27D8E">
      <w:pPr>
        <w:pStyle w:val="Testonotaapidipagina"/>
        <w:jc w:val="both"/>
      </w:pPr>
      <w:r w:rsidRPr="002065E9">
        <w:rPr>
          <w:rStyle w:val="Rimandonotaapidipagina"/>
          <w:rFonts w:ascii="Times New Roman" w:hAnsi="Times New Roman"/>
          <w:lang w:val="en-GB"/>
        </w:rPr>
        <w:footnoteRef/>
      </w:r>
      <w:r w:rsidRPr="002065E9">
        <w:rPr>
          <w:rFonts w:ascii="Times New Roman" w:hAnsi="Times New Roman"/>
          <w:lang w:val="en-GB"/>
        </w:rPr>
        <w:t xml:space="preserve"> </w:t>
      </w:r>
      <w:r w:rsidRPr="002065E9">
        <w:rPr>
          <w:rFonts w:ascii="Times New Roman" w:hAnsi="Times New Roman"/>
          <w:iCs/>
          <w:lang w:val="en-GB"/>
        </w:rPr>
        <w:t xml:space="preserve">Itzcovich, </w:t>
      </w:r>
      <w:r w:rsidRPr="002065E9">
        <w:rPr>
          <w:rFonts w:ascii="Times New Roman" w:hAnsi="Times New Roman"/>
          <w:i/>
          <w:iCs/>
          <w:lang w:val="en-GB"/>
        </w:rPr>
        <w:t>Teorie e ideologie</w:t>
      </w:r>
      <w:r w:rsidRPr="002065E9">
        <w:rPr>
          <w:rFonts w:ascii="Times New Roman" w:hAnsi="Times New Roman"/>
          <w:iCs/>
          <w:lang w:val="en-GB"/>
        </w:rPr>
        <w:t>, cit.,</w:t>
      </w:r>
      <w:r w:rsidRPr="002065E9">
        <w:rPr>
          <w:rFonts w:ascii="Times New Roman" w:hAnsi="Times New Roman"/>
          <w:lang w:val="en-GB"/>
        </w:rPr>
        <w:t xml:space="preserve"> </w:t>
      </w:r>
      <w:r>
        <w:rPr>
          <w:rFonts w:ascii="Times New Roman" w:hAnsi="Times New Roman"/>
          <w:iCs/>
          <w:lang w:val="en-GB"/>
        </w:rPr>
        <w:t>307–314 and 324–382</w:t>
      </w:r>
      <w:r w:rsidRPr="002065E9">
        <w:rPr>
          <w:rFonts w:ascii="Times New Roman" w:hAnsi="Times New Roman"/>
          <w:iCs/>
          <w:lang w:val="en-GB"/>
        </w:rPr>
        <w:t>.</w:t>
      </w:r>
    </w:p>
  </w:footnote>
  <w:footnote w:id="146">
    <w:p w:rsidR="005E6612" w:rsidRDefault="005E6612" w:rsidP="00B27D8E">
      <w:pPr>
        <w:pStyle w:val="Testonotaapidipagina"/>
        <w:jc w:val="both"/>
      </w:pPr>
      <w:r w:rsidRPr="002065E9">
        <w:rPr>
          <w:rStyle w:val="Rimandonotaapidipagina"/>
          <w:rFonts w:ascii="Times New Roman" w:hAnsi="Times New Roman"/>
          <w:lang w:val="en-GB"/>
        </w:rPr>
        <w:footnoteRef/>
      </w:r>
      <w:r w:rsidRPr="002065E9">
        <w:rPr>
          <w:rFonts w:ascii="Times New Roman" w:hAnsi="Times New Roman"/>
          <w:lang w:val="en-GB"/>
        </w:rPr>
        <w:t xml:space="preserve"> </w:t>
      </w:r>
      <w:r w:rsidRPr="002065E9">
        <w:rPr>
          <w:rFonts w:ascii="Times New Roman" w:hAnsi="Times New Roman"/>
          <w:iCs/>
          <w:lang w:val="en-GB"/>
        </w:rPr>
        <w:t xml:space="preserve">F. Snyder, </w:t>
      </w:r>
      <w:r>
        <w:rPr>
          <w:rFonts w:ascii="Times New Roman" w:hAnsi="Times New Roman"/>
          <w:iCs/>
          <w:lang w:val="en-GB"/>
        </w:rPr>
        <w:t>‘</w:t>
      </w:r>
      <w:r w:rsidRPr="002065E9">
        <w:rPr>
          <w:rFonts w:ascii="Times New Roman" w:hAnsi="Times New Roman"/>
          <w:iCs/>
          <w:lang w:val="en-GB"/>
        </w:rPr>
        <w:t>New Directions in European Community Law</w:t>
      </w:r>
      <w:r>
        <w:rPr>
          <w:rFonts w:ascii="Times New Roman" w:hAnsi="Times New Roman"/>
          <w:iCs/>
          <w:lang w:val="en-GB"/>
        </w:rPr>
        <w:t>’</w:t>
      </w:r>
      <w:r w:rsidRPr="002065E9">
        <w:rPr>
          <w:rFonts w:ascii="Times New Roman" w:hAnsi="Times New Roman"/>
          <w:iCs/>
          <w:lang w:val="en-GB"/>
        </w:rPr>
        <w:t xml:space="preserve">, </w:t>
      </w:r>
      <w:r w:rsidRPr="002065E9">
        <w:rPr>
          <w:rFonts w:ascii="Times New Roman" w:hAnsi="Times New Roman"/>
          <w:i/>
          <w:iCs/>
          <w:lang w:val="en-GB"/>
        </w:rPr>
        <w:t>Journal of Law and Society</w:t>
      </w:r>
      <w:r w:rsidRPr="002065E9">
        <w:rPr>
          <w:rFonts w:ascii="Times New Roman" w:hAnsi="Times New Roman"/>
          <w:iCs/>
          <w:lang w:val="en-GB"/>
        </w:rPr>
        <w:t>, 14</w:t>
      </w:r>
      <w:r>
        <w:rPr>
          <w:rFonts w:ascii="Times New Roman" w:hAnsi="Times New Roman"/>
          <w:iCs/>
          <w:lang w:val="en-GB"/>
        </w:rPr>
        <w:t xml:space="preserve"> (</w:t>
      </w:r>
      <w:r w:rsidRPr="002065E9">
        <w:rPr>
          <w:rFonts w:ascii="Times New Roman" w:hAnsi="Times New Roman"/>
          <w:lang w:val="en-GB"/>
        </w:rPr>
        <w:t>1987</w:t>
      </w:r>
      <w:r>
        <w:rPr>
          <w:rFonts w:ascii="Times New Roman" w:hAnsi="Times New Roman"/>
          <w:lang w:val="en-GB"/>
        </w:rPr>
        <w:t>)</w:t>
      </w:r>
      <w:r w:rsidRPr="002065E9">
        <w:rPr>
          <w:rFonts w:ascii="Times New Roman" w:hAnsi="Times New Roman"/>
          <w:lang w:val="en-GB"/>
        </w:rPr>
        <w:t>, 167</w:t>
      </w:r>
      <w:r w:rsidRPr="002065E9">
        <w:rPr>
          <w:rFonts w:ascii="Times New Roman" w:hAnsi="Times New Roman"/>
          <w:iCs/>
          <w:lang w:val="en-GB"/>
        </w:rPr>
        <w:t>–</w:t>
      </w:r>
      <w:r w:rsidRPr="002065E9">
        <w:rPr>
          <w:rFonts w:ascii="Times New Roman" w:hAnsi="Times New Roman"/>
          <w:lang w:val="en-GB"/>
        </w:rPr>
        <w:t xml:space="preserve">182; A. von Bogdandy, </w:t>
      </w:r>
      <w:r>
        <w:rPr>
          <w:rFonts w:ascii="Times New Roman" w:hAnsi="Times New Roman"/>
          <w:lang w:val="en-GB"/>
        </w:rPr>
        <w:t>‘</w:t>
      </w:r>
      <w:r w:rsidRPr="002065E9">
        <w:rPr>
          <w:rFonts w:ascii="Times New Roman" w:hAnsi="Times New Roman"/>
          <w:iCs/>
          <w:lang w:val="en-GB"/>
        </w:rPr>
        <w:t>A Bird’s Eye View on the Science of European Law</w:t>
      </w:r>
      <w:r>
        <w:rPr>
          <w:rFonts w:ascii="Times New Roman" w:hAnsi="Times New Roman"/>
          <w:iCs/>
          <w:lang w:val="en-GB"/>
        </w:rPr>
        <w:t>’</w:t>
      </w:r>
      <w:r w:rsidRPr="002065E9">
        <w:rPr>
          <w:rFonts w:ascii="Times New Roman" w:hAnsi="Times New Roman"/>
          <w:iCs/>
          <w:lang w:val="en-GB"/>
        </w:rPr>
        <w:t xml:space="preserve">, </w:t>
      </w:r>
      <w:r w:rsidRPr="002065E9">
        <w:rPr>
          <w:rFonts w:ascii="Times New Roman" w:hAnsi="Times New Roman"/>
          <w:i/>
          <w:iCs/>
          <w:lang w:val="en-GB"/>
        </w:rPr>
        <w:t>European Law Journal</w:t>
      </w:r>
      <w:r w:rsidRPr="002065E9">
        <w:rPr>
          <w:rFonts w:ascii="Times New Roman" w:hAnsi="Times New Roman"/>
          <w:iCs/>
          <w:lang w:val="en-GB"/>
        </w:rPr>
        <w:t xml:space="preserve">, </w:t>
      </w:r>
      <w:r>
        <w:rPr>
          <w:rFonts w:ascii="Times New Roman" w:hAnsi="Times New Roman"/>
          <w:iCs/>
          <w:lang w:val="en-GB"/>
        </w:rPr>
        <w:t>6 (</w:t>
      </w:r>
      <w:r w:rsidRPr="002065E9">
        <w:rPr>
          <w:rFonts w:ascii="Times New Roman" w:hAnsi="Times New Roman"/>
          <w:iCs/>
          <w:lang w:val="en-GB"/>
        </w:rPr>
        <w:t>2000</w:t>
      </w:r>
      <w:r>
        <w:rPr>
          <w:rFonts w:ascii="Times New Roman" w:hAnsi="Times New Roman"/>
          <w:iCs/>
          <w:lang w:val="en-GB"/>
        </w:rPr>
        <w:t>)</w:t>
      </w:r>
      <w:r w:rsidRPr="002065E9">
        <w:rPr>
          <w:rFonts w:ascii="Times New Roman" w:hAnsi="Times New Roman"/>
          <w:iCs/>
          <w:lang w:val="en-GB"/>
        </w:rPr>
        <w:t xml:space="preserve">, 208–238; </w:t>
      </w:r>
      <w:r w:rsidRPr="002065E9">
        <w:rPr>
          <w:rFonts w:ascii="Times New Roman" w:hAnsi="Times New Roman"/>
          <w:lang w:val="en-GB"/>
        </w:rPr>
        <w:t xml:space="preserve">J. Shaw, </w:t>
      </w:r>
      <w:r>
        <w:rPr>
          <w:rFonts w:ascii="Times New Roman" w:hAnsi="Times New Roman"/>
          <w:lang w:val="en-GB"/>
        </w:rPr>
        <w:t>‘</w:t>
      </w:r>
      <w:r w:rsidRPr="00205D3C">
        <w:rPr>
          <w:rFonts w:ascii="Times New Roman" w:hAnsi="Times New Roman"/>
          <w:lang w:val="en-GB"/>
        </w:rPr>
        <w:t xml:space="preserve">The European Union: </w:t>
      </w:r>
      <w:r w:rsidRPr="00205D3C">
        <w:rPr>
          <w:rFonts w:ascii="Times New Roman" w:hAnsi="Times New Roman"/>
          <w:iCs/>
          <w:lang w:val="en-GB"/>
        </w:rPr>
        <w:t>Discipline Building Meets Polity Building</w:t>
      </w:r>
      <w:r w:rsidRPr="00205D3C">
        <w:rPr>
          <w:rFonts w:ascii="Times New Roman" w:hAnsi="Times New Roman"/>
          <w:lang w:val="en-GB"/>
        </w:rPr>
        <w:t>’</w:t>
      </w:r>
      <w:r>
        <w:rPr>
          <w:rFonts w:ascii="Times New Roman" w:hAnsi="Times New Roman"/>
          <w:lang w:val="en-GB"/>
        </w:rPr>
        <w:t>,</w:t>
      </w:r>
      <w:r w:rsidRPr="002065E9">
        <w:rPr>
          <w:rFonts w:ascii="Times New Roman" w:hAnsi="Times New Roman"/>
          <w:lang w:val="en-GB"/>
        </w:rPr>
        <w:t xml:space="preserve"> in P. Cane, M. Tushnet (eds.) </w:t>
      </w:r>
      <w:r w:rsidRPr="002065E9">
        <w:rPr>
          <w:rFonts w:ascii="Times New Roman" w:hAnsi="Times New Roman"/>
          <w:i/>
          <w:lang w:val="en-GB"/>
        </w:rPr>
        <w:t>Oxford Handbook of Legal Studies</w:t>
      </w:r>
      <w:r>
        <w:rPr>
          <w:rFonts w:ascii="Times New Roman" w:hAnsi="Times New Roman"/>
          <w:i/>
          <w:lang w:val="en-GB"/>
        </w:rPr>
        <w:t xml:space="preserve"> </w:t>
      </w:r>
      <w:r>
        <w:rPr>
          <w:rFonts w:ascii="Times New Roman" w:hAnsi="Times New Roman"/>
          <w:lang w:val="en-GB"/>
        </w:rPr>
        <w:t>(</w:t>
      </w:r>
      <w:r w:rsidRPr="002065E9">
        <w:rPr>
          <w:rFonts w:ascii="Times New Roman" w:hAnsi="Times New Roman"/>
          <w:lang w:val="en-GB"/>
        </w:rPr>
        <w:t>Oxford</w:t>
      </w:r>
      <w:r>
        <w:rPr>
          <w:rFonts w:ascii="Times New Roman" w:hAnsi="Times New Roman"/>
          <w:lang w:val="en-GB"/>
        </w:rPr>
        <w:t xml:space="preserve"> University Press</w:t>
      </w:r>
      <w:r w:rsidRPr="002065E9">
        <w:rPr>
          <w:rFonts w:ascii="Times New Roman" w:hAnsi="Times New Roman"/>
          <w:lang w:val="en-GB"/>
        </w:rPr>
        <w:t>, 2003</w:t>
      </w:r>
      <w:r>
        <w:rPr>
          <w:rFonts w:ascii="Times New Roman" w:hAnsi="Times New Roman"/>
          <w:lang w:val="en-GB"/>
        </w:rPr>
        <w:t>)</w:t>
      </w:r>
      <w:r w:rsidRPr="002065E9">
        <w:rPr>
          <w:rFonts w:ascii="Times New Roman" w:hAnsi="Times New Roman"/>
          <w:lang w:val="en-GB"/>
        </w:rPr>
        <w:t>, 325</w:t>
      </w:r>
      <w:r w:rsidRPr="002065E9">
        <w:rPr>
          <w:rFonts w:ascii="Times New Roman" w:hAnsi="Times New Roman"/>
          <w:iCs/>
          <w:lang w:val="en-GB"/>
        </w:rPr>
        <w:t>–</w:t>
      </w:r>
      <w:r w:rsidRPr="002065E9">
        <w:rPr>
          <w:rFonts w:ascii="Times New Roman" w:hAnsi="Times New Roman"/>
          <w:lang w:val="en-GB"/>
        </w:rPr>
        <w:t xml:space="preserve">352; N. Walker, </w:t>
      </w:r>
      <w:r>
        <w:rPr>
          <w:rFonts w:ascii="Times New Roman" w:hAnsi="Times New Roman"/>
          <w:lang w:val="en-GB"/>
        </w:rPr>
        <w:t>‘</w:t>
      </w:r>
      <w:r w:rsidRPr="002065E9">
        <w:rPr>
          <w:rFonts w:ascii="Times New Roman" w:hAnsi="Times New Roman"/>
          <w:lang w:val="en-GB"/>
        </w:rPr>
        <w:t>Legal Theory and the European Union: A 25th Anniversary Essay</w:t>
      </w:r>
      <w:r>
        <w:rPr>
          <w:rFonts w:ascii="Times New Roman" w:hAnsi="Times New Roman"/>
          <w:lang w:val="en-GB"/>
        </w:rPr>
        <w:t>’</w:t>
      </w:r>
      <w:r w:rsidRPr="002065E9">
        <w:rPr>
          <w:rFonts w:ascii="Times New Roman" w:hAnsi="Times New Roman"/>
          <w:lang w:val="en-GB"/>
        </w:rPr>
        <w:t xml:space="preserve">, </w:t>
      </w:r>
      <w:r w:rsidRPr="002065E9">
        <w:rPr>
          <w:rFonts w:ascii="Times New Roman" w:hAnsi="Times New Roman"/>
          <w:i/>
          <w:iCs/>
          <w:lang w:val="en-GB"/>
        </w:rPr>
        <w:t>Oxford Journal of Legal Studies</w:t>
      </w:r>
      <w:r w:rsidRPr="002065E9">
        <w:rPr>
          <w:rFonts w:ascii="Times New Roman" w:hAnsi="Times New Roman"/>
          <w:lang w:val="en-GB"/>
        </w:rPr>
        <w:t>, 25</w:t>
      </w:r>
      <w:r>
        <w:rPr>
          <w:rFonts w:ascii="Times New Roman" w:hAnsi="Times New Roman"/>
          <w:lang w:val="en-GB"/>
        </w:rPr>
        <w:t xml:space="preserve"> (</w:t>
      </w:r>
      <w:r w:rsidRPr="002065E9">
        <w:rPr>
          <w:rFonts w:ascii="Times New Roman" w:hAnsi="Times New Roman"/>
          <w:lang w:val="en-GB"/>
        </w:rPr>
        <w:t>2005</w:t>
      </w:r>
      <w:r>
        <w:rPr>
          <w:rFonts w:ascii="Times New Roman" w:hAnsi="Times New Roman"/>
          <w:lang w:val="en-GB"/>
        </w:rPr>
        <w:t>)</w:t>
      </w:r>
      <w:r w:rsidRPr="002065E9">
        <w:rPr>
          <w:rFonts w:ascii="Times New Roman" w:hAnsi="Times New Roman"/>
          <w:lang w:val="en-GB"/>
        </w:rPr>
        <w:t>, 581</w:t>
      </w:r>
      <w:r w:rsidRPr="002065E9">
        <w:rPr>
          <w:rFonts w:ascii="Times New Roman" w:hAnsi="Times New Roman"/>
          <w:iCs/>
          <w:lang w:val="en-GB"/>
        </w:rPr>
        <w:t>–</w:t>
      </w:r>
      <w:r w:rsidRPr="002065E9">
        <w:rPr>
          <w:rFonts w:ascii="Times New Roman" w:hAnsi="Times New Roman"/>
          <w:lang w:val="en-GB"/>
        </w:rPr>
        <w:t xml:space="preserve">601; </w:t>
      </w:r>
      <w:r w:rsidRPr="002065E9">
        <w:rPr>
          <w:rFonts w:ascii="Times New Roman" w:hAnsi="Times New Roman"/>
          <w:bCs/>
          <w:lang w:val="en-GB"/>
        </w:rPr>
        <w:t xml:space="preserve">Dann, </w:t>
      </w:r>
      <w:r>
        <w:rPr>
          <w:rFonts w:ascii="Times New Roman" w:hAnsi="Times New Roman"/>
          <w:bCs/>
          <w:lang w:val="en-GB"/>
        </w:rPr>
        <w:t>‘</w:t>
      </w:r>
      <w:r w:rsidRPr="002065E9">
        <w:rPr>
          <w:rFonts w:ascii="Times New Roman" w:hAnsi="Times New Roman"/>
          <w:bCs/>
          <w:lang w:val="en-GB"/>
        </w:rPr>
        <w:t>Thoughts on a Methodology</w:t>
      </w:r>
      <w:r>
        <w:rPr>
          <w:rFonts w:ascii="Times New Roman" w:hAnsi="Times New Roman"/>
          <w:bCs/>
          <w:lang w:val="en-GB"/>
        </w:rPr>
        <w:t>’</w:t>
      </w:r>
      <w:r w:rsidRPr="002065E9">
        <w:rPr>
          <w:rFonts w:ascii="Times New Roman" w:hAnsi="Times New Roman"/>
          <w:bCs/>
          <w:lang w:val="en-GB"/>
        </w:rPr>
        <w:t>, cit.</w:t>
      </w:r>
    </w:p>
  </w:footnote>
  <w:footnote w:id="147">
    <w:p w:rsidR="005E6612" w:rsidRDefault="005E6612" w:rsidP="00B27D8E">
      <w:pPr>
        <w:pStyle w:val="Testonotaapidipagina"/>
        <w:jc w:val="both"/>
      </w:pPr>
      <w:r w:rsidRPr="002065E9">
        <w:rPr>
          <w:rStyle w:val="Rimandonotaapidipagina"/>
          <w:rFonts w:ascii="Times New Roman" w:hAnsi="Times New Roman"/>
          <w:lang w:val="en-GB"/>
        </w:rPr>
        <w:footnoteRef/>
      </w:r>
      <w:r w:rsidRPr="002065E9">
        <w:rPr>
          <w:rFonts w:ascii="Times New Roman" w:hAnsi="Times New Roman"/>
          <w:lang w:val="en-GB"/>
        </w:rPr>
        <w:t xml:space="preserve"> Cfr. A.-M. Burley, W. Mattli, </w:t>
      </w:r>
      <w:r>
        <w:rPr>
          <w:rFonts w:ascii="Times New Roman" w:hAnsi="Times New Roman"/>
          <w:lang w:val="en-GB"/>
        </w:rPr>
        <w:t>‘</w:t>
      </w:r>
      <w:r w:rsidRPr="002065E9">
        <w:rPr>
          <w:rFonts w:ascii="Times New Roman" w:hAnsi="Times New Roman"/>
          <w:iCs/>
          <w:lang w:val="en-GB"/>
        </w:rPr>
        <w:t>Europe Before the Court: A Political Theory of Legal Integration</w:t>
      </w:r>
      <w:r>
        <w:rPr>
          <w:rFonts w:ascii="Times New Roman" w:hAnsi="Times New Roman"/>
          <w:iCs/>
          <w:lang w:val="en-GB"/>
        </w:rPr>
        <w:t>’</w:t>
      </w:r>
      <w:r w:rsidRPr="002065E9">
        <w:rPr>
          <w:rFonts w:ascii="Times New Roman" w:hAnsi="Times New Roman"/>
          <w:lang w:val="en-GB"/>
        </w:rPr>
        <w:t xml:space="preserve">, </w:t>
      </w:r>
      <w:r w:rsidRPr="00205D3C">
        <w:rPr>
          <w:rFonts w:ascii="Times New Roman" w:hAnsi="Times New Roman"/>
          <w:i/>
          <w:lang w:val="en-GB"/>
        </w:rPr>
        <w:t>International Organization</w:t>
      </w:r>
      <w:r w:rsidRPr="002065E9">
        <w:rPr>
          <w:rFonts w:ascii="Times New Roman" w:hAnsi="Times New Roman"/>
          <w:lang w:val="en-GB"/>
        </w:rPr>
        <w:t>, 47</w:t>
      </w:r>
      <w:r>
        <w:rPr>
          <w:rFonts w:ascii="Times New Roman" w:hAnsi="Times New Roman"/>
          <w:lang w:val="en-GB"/>
        </w:rPr>
        <w:t xml:space="preserve"> (</w:t>
      </w:r>
      <w:r w:rsidRPr="002065E9">
        <w:rPr>
          <w:rFonts w:ascii="Times New Roman" w:hAnsi="Times New Roman"/>
          <w:lang w:val="en-GB"/>
        </w:rPr>
        <w:t>1993</w:t>
      </w:r>
      <w:r>
        <w:rPr>
          <w:rFonts w:ascii="Times New Roman" w:hAnsi="Times New Roman"/>
          <w:lang w:val="en-GB"/>
        </w:rPr>
        <w:t>)</w:t>
      </w:r>
      <w:r w:rsidRPr="002065E9">
        <w:rPr>
          <w:rFonts w:ascii="Times New Roman" w:hAnsi="Times New Roman"/>
          <w:lang w:val="en-GB"/>
        </w:rPr>
        <w:t>, 41</w:t>
      </w:r>
      <w:r w:rsidRPr="002065E9">
        <w:rPr>
          <w:rFonts w:ascii="Times New Roman" w:hAnsi="Times New Roman"/>
          <w:iCs/>
          <w:lang w:val="en-GB"/>
        </w:rPr>
        <w:t>–</w:t>
      </w:r>
      <w:r w:rsidRPr="002065E9">
        <w:rPr>
          <w:rFonts w:ascii="Times New Roman" w:hAnsi="Times New Roman"/>
          <w:lang w:val="en-GB"/>
        </w:rPr>
        <w:t xml:space="preserve">76; G. Garrett, </w:t>
      </w:r>
      <w:r>
        <w:rPr>
          <w:rFonts w:ascii="Times New Roman" w:hAnsi="Times New Roman"/>
          <w:lang w:val="en-GB"/>
        </w:rPr>
        <w:t>‘</w:t>
      </w:r>
      <w:r w:rsidRPr="002065E9">
        <w:rPr>
          <w:rFonts w:ascii="Times New Roman" w:hAnsi="Times New Roman"/>
          <w:iCs/>
          <w:lang w:val="en-GB"/>
        </w:rPr>
        <w:t>The Politics of Legal Integration in the European Union</w:t>
      </w:r>
      <w:r>
        <w:rPr>
          <w:rFonts w:ascii="Times New Roman" w:hAnsi="Times New Roman"/>
          <w:iCs/>
          <w:lang w:val="en-GB"/>
        </w:rPr>
        <w:t>’</w:t>
      </w:r>
      <w:r w:rsidRPr="002065E9">
        <w:rPr>
          <w:rFonts w:ascii="Times New Roman" w:hAnsi="Times New Roman"/>
          <w:lang w:val="en-GB"/>
        </w:rPr>
        <w:t xml:space="preserve">, </w:t>
      </w:r>
      <w:r w:rsidRPr="002065E9">
        <w:rPr>
          <w:rFonts w:ascii="Times New Roman" w:hAnsi="Times New Roman"/>
          <w:i/>
          <w:lang w:val="en-GB"/>
        </w:rPr>
        <w:t>International Organization</w:t>
      </w:r>
      <w:r w:rsidRPr="002065E9">
        <w:rPr>
          <w:rFonts w:ascii="Times New Roman" w:hAnsi="Times New Roman"/>
          <w:lang w:val="en-GB"/>
        </w:rPr>
        <w:t>, 49</w:t>
      </w:r>
      <w:r>
        <w:rPr>
          <w:rFonts w:ascii="Times New Roman" w:hAnsi="Times New Roman"/>
          <w:lang w:val="en-GB"/>
        </w:rPr>
        <w:t xml:space="preserve"> (</w:t>
      </w:r>
      <w:r w:rsidRPr="002065E9">
        <w:rPr>
          <w:rFonts w:ascii="Times New Roman" w:hAnsi="Times New Roman"/>
          <w:lang w:val="en-GB"/>
        </w:rPr>
        <w:t>1995</w:t>
      </w:r>
      <w:r>
        <w:rPr>
          <w:rFonts w:ascii="Times New Roman" w:hAnsi="Times New Roman"/>
          <w:lang w:val="en-GB"/>
        </w:rPr>
        <w:t>)</w:t>
      </w:r>
      <w:r w:rsidRPr="002065E9">
        <w:rPr>
          <w:rFonts w:ascii="Times New Roman" w:hAnsi="Times New Roman"/>
          <w:lang w:val="en-GB"/>
        </w:rPr>
        <w:t>, 171</w:t>
      </w:r>
      <w:r w:rsidRPr="002065E9">
        <w:rPr>
          <w:rFonts w:ascii="Times New Roman" w:hAnsi="Times New Roman"/>
          <w:iCs/>
          <w:lang w:val="en-GB"/>
        </w:rPr>
        <w:t>–</w:t>
      </w:r>
      <w:r w:rsidRPr="002065E9">
        <w:rPr>
          <w:rFonts w:ascii="Times New Roman" w:hAnsi="Times New Roman"/>
          <w:lang w:val="en-GB"/>
        </w:rPr>
        <w:t>181.</w:t>
      </w:r>
    </w:p>
  </w:footnote>
  <w:footnote w:id="148">
    <w:p w:rsidR="005E6612" w:rsidRDefault="005E6612" w:rsidP="00B27D8E">
      <w:pPr>
        <w:pStyle w:val="Testonotaapidipagina"/>
        <w:jc w:val="both"/>
      </w:pPr>
      <w:r w:rsidRPr="002065E9">
        <w:rPr>
          <w:rStyle w:val="Rimandonotaapidipagina"/>
          <w:rFonts w:ascii="Times New Roman" w:hAnsi="Times New Roman"/>
          <w:lang w:val="en-GB"/>
        </w:rPr>
        <w:footnoteRef/>
      </w:r>
      <w:r w:rsidRPr="002065E9">
        <w:rPr>
          <w:rFonts w:ascii="Times New Roman" w:hAnsi="Times New Roman"/>
          <w:lang w:val="en-GB"/>
        </w:rPr>
        <w:t xml:space="preserve"> J.H.H. Weiler, </w:t>
      </w:r>
      <w:r>
        <w:rPr>
          <w:rFonts w:ascii="Times New Roman" w:hAnsi="Times New Roman"/>
          <w:lang w:val="en-GB"/>
        </w:rPr>
        <w:t>‘</w:t>
      </w:r>
      <w:r w:rsidRPr="002065E9">
        <w:rPr>
          <w:rFonts w:ascii="Times New Roman" w:hAnsi="Times New Roman"/>
          <w:iCs/>
          <w:lang w:val="en-GB"/>
        </w:rPr>
        <w:t>The Community System: the Dual Character of Supranationalism</w:t>
      </w:r>
      <w:r>
        <w:rPr>
          <w:rFonts w:ascii="Times New Roman" w:hAnsi="Times New Roman"/>
          <w:iCs/>
          <w:lang w:val="en-GB"/>
        </w:rPr>
        <w:t>’</w:t>
      </w:r>
      <w:r w:rsidRPr="002065E9">
        <w:rPr>
          <w:rFonts w:ascii="Times New Roman" w:hAnsi="Times New Roman"/>
          <w:lang w:val="en-GB"/>
        </w:rPr>
        <w:t xml:space="preserve">, </w:t>
      </w:r>
      <w:r w:rsidRPr="002065E9">
        <w:rPr>
          <w:rFonts w:ascii="Times New Roman" w:hAnsi="Times New Roman"/>
          <w:i/>
          <w:lang w:val="en-GB"/>
        </w:rPr>
        <w:t>Yearbook of European Law</w:t>
      </w:r>
      <w:r w:rsidRPr="002065E9">
        <w:rPr>
          <w:rFonts w:ascii="Times New Roman" w:hAnsi="Times New Roman"/>
          <w:lang w:val="en-GB"/>
        </w:rPr>
        <w:t>, 1</w:t>
      </w:r>
      <w:r>
        <w:rPr>
          <w:rFonts w:ascii="Times New Roman" w:hAnsi="Times New Roman"/>
          <w:lang w:val="en-GB"/>
        </w:rPr>
        <w:t xml:space="preserve"> (</w:t>
      </w:r>
      <w:r w:rsidRPr="002065E9">
        <w:rPr>
          <w:rFonts w:ascii="Times New Roman" w:hAnsi="Times New Roman"/>
          <w:lang w:val="en-GB"/>
        </w:rPr>
        <w:t>1981</w:t>
      </w:r>
      <w:r>
        <w:rPr>
          <w:rFonts w:ascii="Times New Roman" w:hAnsi="Times New Roman"/>
          <w:lang w:val="en-GB"/>
        </w:rPr>
        <w:t>)</w:t>
      </w:r>
      <w:r w:rsidRPr="002065E9">
        <w:rPr>
          <w:rFonts w:ascii="Times New Roman" w:hAnsi="Times New Roman"/>
          <w:lang w:val="en-GB"/>
        </w:rPr>
        <w:t>, 267</w:t>
      </w:r>
      <w:r w:rsidRPr="002065E9">
        <w:rPr>
          <w:rFonts w:ascii="Times New Roman" w:hAnsi="Times New Roman"/>
          <w:iCs/>
          <w:lang w:val="en-GB"/>
        </w:rPr>
        <w:t>–</w:t>
      </w:r>
      <w:r w:rsidRPr="002065E9">
        <w:rPr>
          <w:rFonts w:ascii="Times New Roman" w:hAnsi="Times New Roman"/>
          <w:lang w:val="en-GB"/>
        </w:rPr>
        <w:t>306.</w:t>
      </w:r>
    </w:p>
  </w:footnote>
  <w:footnote w:id="149">
    <w:p w:rsidR="005E6612" w:rsidRDefault="005E6612" w:rsidP="00B27D8E">
      <w:pPr>
        <w:pStyle w:val="Testonotaapidipagina"/>
        <w:jc w:val="both"/>
      </w:pPr>
      <w:r w:rsidRPr="002065E9">
        <w:rPr>
          <w:rStyle w:val="Rimandonotaapidipagina"/>
          <w:rFonts w:ascii="Times New Roman" w:hAnsi="Times New Roman"/>
          <w:lang w:val="en-GB"/>
        </w:rPr>
        <w:footnoteRef/>
      </w:r>
      <w:r w:rsidRPr="002065E9">
        <w:rPr>
          <w:rFonts w:ascii="Times New Roman" w:hAnsi="Times New Roman"/>
          <w:lang w:val="en-GB"/>
        </w:rPr>
        <w:t xml:space="preserve"> B. De Witte Bruno, </w:t>
      </w:r>
      <w:r>
        <w:rPr>
          <w:rFonts w:ascii="Times New Roman" w:hAnsi="Times New Roman"/>
          <w:lang w:val="en-GB"/>
        </w:rPr>
        <w:t>‘</w:t>
      </w:r>
      <w:r w:rsidRPr="002065E9">
        <w:rPr>
          <w:rFonts w:ascii="Times New Roman" w:hAnsi="Times New Roman"/>
          <w:lang w:val="en-GB"/>
        </w:rPr>
        <w:t>The Closest Thing to a Constitutional Conversation in Europe: The Semi-Permanent Treaty Revision Process</w:t>
      </w:r>
      <w:r>
        <w:rPr>
          <w:rFonts w:ascii="Times New Roman" w:hAnsi="Times New Roman"/>
          <w:lang w:val="en-GB"/>
        </w:rPr>
        <w:t>’</w:t>
      </w:r>
      <w:r w:rsidRPr="002065E9">
        <w:rPr>
          <w:rFonts w:ascii="Times New Roman" w:hAnsi="Times New Roman"/>
          <w:lang w:val="en-GB"/>
        </w:rPr>
        <w:t xml:space="preserve">, in P. Beaumont et al. (eds.), </w:t>
      </w:r>
      <w:r w:rsidRPr="002065E9">
        <w:rPr>
          <w:rFonts w:ascii="Times New Roman" w:hAnsi="Times New Roman"/>
          <w:i/>
          <w:iCs/>
          <w:lang w:val="en-GB"/>
        </w:rPr>
        <w:t>Convergence and Divergence in European Public Law</w:t>
      </w:r>
      <w:r>
        <w:rPr>
          <w:rFonts w:ascii="Times New Roman" w:hAnsi="Times New Roman"/>
          <w:lang w:val="en-GB"/>
        </w:rPr>
        <w:t xml:space="preserve"> (</w:t>
      </w:r>
      <w:r w:rsidRPr="002065E9">
        <w:rPr>
          <w:rFonts w:ascii="Times New Roman" w:hAnsi="Times New Roman"/>
          <w:lang w:val="en-GB"/>
        </w:rPr>
        <w:t>Oxford</w:t>
      </w:r>
      <w:r>
        <w:rPr>
          <w:rFonts w:ascii="Times New Roman" w:hAnsi="Times New Roman"/>
          <w:lang w:val="en-GB"/>
        </w:rPr>
        <w:t>:</w:t>
      </w:r>
      <w:r w:rsidRPr="002065E9">
        <w:rPr>
          <w:rFonts w:ascii="Times New Roman" w:hAnsi="Times New Roman"/>
          <w:lang w:val="en-GB"/>
        </w:rPr>
        <w:t xml:space="preserve"> Hart, 2002</w:t>
      </w:r>
      <w:r>
        <w:rPr>
          <w:rFonts w:ascii="Times New Roman" w:hAnsi="Times New Roman"/>
          <w:lang w:val="en-GB"/>
        </w:rPr>
        <w:t>)</w:t>
      </w:r>
      <w:r w:rsidRPr="002065E9">
        <w:rPr>
          <w:rFonts w:ascii="Times New Roman" w:hAnsi="Times New Roman"/>
          <w:lang w:val="en-GB"/>
        </w:rPr>
        <w:t>, 39</w:t>
      </w:r>
      <w:r w:rsidRPr="002065E9">
        <w:rPr>
          <w:rFonts w:ascii="Times New Roman" w:hAnsi="Times New Roman"/>
          <w:iCs/>
          <w:lang w:val="en-GB"/>
        </w:rPr>
        <w:t>–</w:t>
      </w:r>
      <w:r w:rsidRPr="002065E9">
        <w:rPr>
          <w:rFonts w:ascii="Times New Roman" w:hAnsi="Times New Roman"/>
          <w:lang w:val="en-GB"/>
        </w:rPr>
        <w:t>57.</w:t>
      </w:r>
    </w:p>
  </w:footnote>
  <w:footnote w:id="150">
    <w:p w:rsidR="005E6612" w:rsidRDefault="005E6612" w:rsidP="00B27D8E">
      <w:pPr>
        <w:pStyle w:val="Testonotaapidipagina"/>
        <w:jc w:val="both"/>
      </w:pPr>
      <w:r w:rsidRPr="002065E9">
        <w:rPr>
          <w:rStyle w:val="Rimandonotaapidipagina"/>
          <w:rFonts w:ascii="Times New Roman" w:hAnsi="Times New Roman"/>
          <w:lang w:val="en-GB"/>
        </w:rPr>
        <w:footnoteRef/>
      </w:r>
      <w:r w:rsidRPr="00C13CDF">
        <w:rPr>
          <w:rFonts w:ascii="Times New Roman" w:hAnsi="Times New Roman"/>
        </w:rPr>
        <w:t xml:space="preserve"> On the reasons for this change of attitude, see N. Mancini, </w:t>
      </w:r>
      <w:r>
        <w:rPr>
          <w:rFonts w:ascii="Times New Roman" w:hAnsi="Times New Roman"/>
        </w:rPr>
        <w:t>‘</w:t>
      </w:r>
      <w:r w:rsidRPr="00C13CDF">
        <w:rPr>
          <w:rFonts w:ascii="Times New Roman" w:hAnsi="Times New Roman"/>
        </w:rPr>
        <w:t>Attivismo e autocontrollo nella giurisprudenza della Corte di Giustizia</w:t>
      </w:r>
      <w:r>
        <w:rPr>
          <w:rFonts w:ascii="Times New Roman" w:hAnsi="Times New Roman"/>
        </w:rPr>
        <w:t>’</w:t>
      </w:r>
      <w:r w:rsidRPr="00C13CDF">
        <w:rPr>
          <w:rFonts w:ascii="Times New Roman" w:hAnsi="Times New Roman"/>
        </w:rPr>
        <w:t xml:space="preserve">, </w:t>
      </w:r>
      <w:r w:rsidRPr="00C13CDF">
        <w:rPr>
          <w:rFonts w:ascii="Times New Roman" w:hAnsi="Times New Roman"/>
          <w:i/>
        </w:rPr>
        <w:t>Rivista di diritto europeo</w:t>
      </w:r>
      <w:r w:rsidRPr="00C13CDF">
        <w:rPr>
          <w:rFonts w:ascii="Times New Roman" w:hAnsi="Times New Roman"/>
        </w:rPr>
        <w:t>, 1990, pp. 229</w:t>
      </w:r>
      <w:r w:rsidRPr="00C13CDF">
        <w:rPr>
          <w:rFonts w:ascii="Times New Roman" w:hAnsi="Times New Roman"/>
          <w:iCs/>
        </w:rPr>
        <w:t>–240, pp. 236–240.</w:t>
      </w:r>
    </w:p>
  </w:footnote>
  <w:footnote w:id="151">
    <w:p w:rsidR="005E6612" w:rsidRDefault="005E6612" w:rsidP="00B27D8E">
      <w:pPr>
        <w:pStyle w:val="Testonotaapidipagina"/>
        <w:jc w:val="both"/>
      </w:pPr>
      <w:r w:rsidRPr="002065E9">
        <w:rPr>
          <w:rStyle w:val="Rimandonotaapidipagina"/>
          <w:rFonts w:ascii="Times New Roman" w:hAnsi="Times New Roman"/>
          <w:lang w:val="en-GB"/>
        </w:rPr>
        <w:footnoteRef/>
      </w:r>
      <w:r w:rsidRPr="002065E9">
        <w:rPr>
          <w:rFonts w:ascii="Times New Roman" w:hAnsi="Times New Roman"/>
          <w:lang w:val="en-GB"/>
        </w:rPr>
        <w:t xml:space="preserve"> On the legal reasoning of the </w:t>
      </w:r>
      <w:r w:rsidRPr="003D634E">
        <w:rPr>
          <w:rFonts w:ascii="Times New Roman" w:hAnsi="Times New Roman"/>
          <w:lang w:val="en-GB"/>
        </w:rPr>
        <w:t>Court of Justice</w:t>
      </w:r>
      <w:r w:rsidRPr="002065E9">
        <w:rPr>
          <w:rFonts w:ascii="Times New Roman" w:hAnsi="Times New Roman"/>
          <w:lang w:val="en-GB"/>
        </w:rPr>
        <w:t>, broad references to the existing</w:t>
      </w:r>
      <w:r w:rsidRPr="00D73610">
        <w:rPr>
          <w:rFonts w:ascii="Times New Roman" w:hAnsi="Times New Roman"/>
          <w:lang w:val="en-GB"/>
        </w:rPr>
        <w:t xml:space="preserve"> literature in G. Itzcovich, </w:t>
      </w:r>
      <w:r>
        <w:rPr>
          <w:rFonts w:ascii="Times New Roman" w:hAnsi="Times New Roman"/>
          <w:lang w:val="en-GB"/>
        </w:rPr>
        <w:t>‘</w:t>
      </w:r>
      <w:r w:rsidRPr="00D73610">
        <w:rPr>
          <w:rFonts w:ascii="Times New Roman" w:hAnsi="Times New Roman"/>
          <w:lang w:val="en-GB"/>
        </w:rPr>
        <w:t>The Interpretation of Community Law by the European Court of Justice</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lang w:val="en-GB"/>
        </w:rPr>
        <w:t>German Law Journal</w:t>
      </w:r>
      <w:r w:rsidRPr="00D73610">
        <w:rPr>
          <w:rFonts w:ascii="Times New Roman" w:hAnsi="Times New Roman"/>
          <w:lang w:val="en-GB"/>
        </w:rPr>
        <w:t xml:space="preserve">, 10/5, 2009, </w:t>
      </w:r>
      <w:hyperlink r:id="rId1" w:history="1">
        <w:r w:rsidRPr="00C65E64">
          <w:rPr>
            <w:rStyle w:val="Collegamentoipertestuale"/>
            <w:rFonts w:ascii="Times New Roman" w:hAnsi="Times New Roman"/>
            <w:lang w:val="en-GB"/>
          </w:rPr>
          <w:t>http://www.germanlawjournal.com/article.php?id=1106</w:t>
        </w:r>
      </w:hyperlink>
      <w:r w:rsidRPr="00D73610">
        <w:rPr>
          <w:rFonts w:ascii="Times New Roman" w:hAnsi="Times New Roman"/>
          <w:lang w:val="en-GB"/>
        </w:rPr>
        <w:t xml:space="preserve">. See moreover </w:t>
      </w:r>
      <w:r w:rsidRPr="00D73610">
        <w:rPr>
          <w:rFonts w:ascii="Times New Roman" w:hAnsi="Times New Roman"/>
          <w:iCs/>
          <w:lang w:val="en-GB"/>
        </w:rPr>
        <w:t xml:space="preserve">E. Paunio, S. Lindroos-Hovinheimo, </w:t>
      </w:r>
      <w:r>
        <w:rPr>
          <w:rFonts w:ascii="Times New Roman" w:hAnsi="Times New Roman"/>
          <w:bCs/>
          <w:lang w:val="en-GB"/>
        </w:rPr>
        <w:t>‘</w:t>
      </w:r>
      <w:r w:rsidRPr="00D73610">
        <w:rPr>
          <w:rFonts w:ascii="Times New Roman" w:hAnsi="Times New Roman"/>
          <w:bCs/>
          <w:lang w:val="en-GB"/>
        </w:rPr>
        <w:t>Taking Language Seriously: An Analysis of Linguistic Reasoning and Its Implications in EU Law</w:t>
      </w:r>
      <w:r>
        <w:rPr>
          <w:rFonts w:ascii="Times New Roman" w:hAnsi="Times New Roman"/>
          <w:bCs/>
          <w:lang w:val="en-GB"/>
        </w:rPr>
        <w:t>’</w:t>
      </w:r>
      <w:r w:rsidRPr="00D73610">
        <w:rPr>
          <w:rFonts w:ascii="Times New Roman" w:hAnsi="Times New Roman"/>
          <w:bCs/>
          <w:lang w:val="en-GB"/>
        </w:rPr>
        <w:t xml:space="preserve">, </w:t>
      </w:r>
      <w:r w:rsidRPr="00D73610">
        <w:rPr>
          <w:rFonts w:ascii="Times New Roman" w:hAnsi="Times New Roman"/>
          <w:i/>
          <w:iCs/>
          <w:lang w:val="en-GB"/>
        </w:rPr>
        <w:t>European Law Journal</w:t>
      </w:r>
      <w:r w:rsidRPr="00D73610">
        <w:rPr>
          <w:rFonts w:ascii="Times New Roman" w:hAnsi="Times New Roman"/>
          <w:iCs/>
          <w:lang w:val="en-GB"/>
        </w:rPr>
        <w:t xml:space="preserve">, 16/4, 2010, 395–416; </w:t>
      </w:r>
      <w:r w:rsidRPr="00D73610">
        <w:rPr>
          <w:rFonts w:ascii="Times New Roman" w:hAnsi="Times New Roman"/>
          <w:lang w:val="en-GB"/>
        </w:rPr>
        <w:t>U. Neergaard</w:t>
      </w:r>
      <w:r>
        <w:rPr>
          <w:rFonts w:ascii="Times New Roman" w:hAnsi="Times New Roman"/>
          <w:lang w:val="en-GB"/>
        </w:rPr>
        <w:t>,</w:t>
      </w:r>
      <w:r w:rsidRPr="00D73610">
        <w:rPr>
          <w:rFonts w:ascii="Times New Roman" w:hAnsi="Times New Roman"/>
          <w:lang w:val="en-GB"/>
        </w:rPr>
        <w:t xml:space="preserve"> R. Nielsen, </w:t>
      </w:r>
      <w:r>
        <w:rPr>
          <w:rFonts w:ascii="Times New Roman" w:hAnsi="Times New Roman"/>
          <w:lang w:val="en-GB"/>
        </w:rPr>
        <w:t>‘</w:t>
      </w:r>
      <w:r w:rsidRPr="00D73610">
        <w:rPr>
          <w:rFonts w:ascii="Times New Roman" w:hAnsi="Times New Roman"/>
          <w:lang w:val="en-GB"/>
        </w:rPr>
        <w:t>Where Did the Spirit and Its Friends Go?</w:t>
      </w:r>
      <w:r>
        <w:rPr>
          <w:rFonts w:ascii="Times New Roman" w:hAnsi="Times New Roman"/>
          <w:lang w:val="en-GB"/>
        </w:rPr>
        <w:t>’</w:t>
      </w:r>
      <w:r w:rsidRPr="00D73610">
        <w:rPr>
          <w:rFonts w:ascii="Times New Roman" w:hAnsi="Times New Roman"/>
          <w:lang w:val="en-GB"/>
        </w:rPr>
        <w:t>, in U. Neergaard, R. Nielsen</w:t>
      </w:r>
      <w:r>
        <w:rPr>
          <w:rFonts w:ascii="Times New Roman" w:hAnsi="Times New Roman"/>
          <w:lang w:val="en-GB"/>
        </w:rPr>
        <w:t>,</w:t>
      </w:r>
      <w:r w:rsidRPr="00D73610">
        <w:rPr>
          <w:rFonts w:ascii="Times New Roman" w:hAnsi="Times New Roman"/>
          <w:lang w:val="en-GB"/>
        </w:rPr>
        <w:t xml:space="preserve"> L. Roseberry (eds.), </w:t>
      </w:r>
      <w:r w:rsidRPr="00D73610">
        <w:rPr>
          <w:rFonts w:ascii="Times New Roman" w:hAnsi="Times New Roman"/>
          <w:i/>
          <w:lang w:val="en-GB"/>
        </w:rPr>
        <w:t>European Legal Method</w:t>
      </w:r>
      <w:r w:rsidRPr="00D73610">
        <w:rPr>
          <w:rFonts w:ascii="Times New Roman" w:hAnsi="Times New Roman"/>
          <w:lang w:val="en-GB"/>
        </w:rPr>
        <w:t xml:space="preserve">, Copenhagen, DJØF, 2011, 95–184; G. Conway, </w:t>
      </w:r>
      <w:r w:rsidRPr="00D73610">
        <w:rPr>
          <w:rFonts w:ascii="Times New Roman" w:hAnsi="Times New Roman"/>
          <w:i/>
          <w:lang w:val="en-GB"/>
        </w:rPr>
        <w:t>The Limits of Legal Reasoning and the</w:t>
      </w:r>
      <w:r w:rsidRPr="00D73610">
        <w:rPr>
          <w:rFonts w:ascii="Times New Roman" w:hAnsi="Times New Roman"/>
          <w:lang w:val="en-GB"/>
        </w:rPr>
        <w:t xml:space="preserve"> </w:t>
      </w:r>
      <w:r w:rsidRPr="00D73610">
        <w:rPr>
          <w:rFonts w:ascii="Times New Roman" w:hAnsi="Times New Roman"/>
          <w:i/>
          <w:iCs/>
          <w:lang w:val="en-GB"/>
        </w:rPr>
        <w:t>European Court of Justice</w:t>
      </w:r>
      <w:r w:rsidRPr="00D73610">
        <w:rPr>
          <w:rFonts w:ascii="Times New Roman" w:hAnsi="Times New Roman"/>
          <w:iCs/>
          <w:lang w:val="en-GB"/>
        </w:rPr>
        <w:t>, Cambridge, CUP, 2012</w:t>
      </w:r>
      <w:r>
        <w:rPr>
          <w:rFonts w:ascii="Times New Roman" w:hAnsi="Times New Roman"/>
          <w:iCs/>
          <w:lang w:val="en-GB"/>
        </w:rPr>
        <w:t>; G.</w:t>
      </w:r>
      <w:r w:rsidRPr="0025179A">
        <w:rPr>
          <w:rFonts w:ascii="Times New Roman" w:hAnsi="Times New Roman"/>
          <w:iCs/>
          <w:lang w:val="en-GB"/>
        </w:rPr>
        <w:t xml:space="preserve"> </w:t>
      </w:r>
      <w:r>
        <w:rPr>
          <w:rFonts w:ascii="Times New Roman" w:hAnsi="Times New Roman"/>
          <w:iCs/>
          <w:lang w:val="en-GB"/>
        </w:rPr>
        <w:t>Beck</w:t>
      </w:r>
      <w:r w:rsidRPr="0025179A">
        <w:rPr>
          <w:rFonts w:ascii="Times New Roman" w:hAnsi="Times New Roman"/>
          <w:iCs/>
          <w:lang w:val="en-GB"/>
        </w:rPr>
        <w:t xml:space="preserve">, </w:t>
      </w:r>
      <w:r w:rsidRPr="00DA56AE">
        <w:rPr>
          <w:rFonts w:ascii="Times New Roman" w:hAnsi="Times New Roman"/>
          <w:i/>
          <w:iCs/>
          <w:lang w:val="en-GB"/>
        </w:rPr>
        <w:t>The Legal Reasoning of the Court of Justice of the EU</w:t>
      </w:r>
      <w:r>
        <w:rPr>
          <w:rFonts w:ascii="Times New Roman" w:hAnsi="Times New Roman"/>
          <w:iCs/>
          <w:lang w:val="en-GB"/>
        </w:rPr>
        <w:t xml:space="preserve"> (</w:t>
      </w:r>
      <w:r w:rsidRPr="0025179A">
        <w:rPr>
          <w:rFonts w:ascii="Times New Roman" w:hAnsi="Times New Roman"/>
          <w:lang w:val="en-GB"/>
        </w:rPr>
        <w:t>Oxford</w:t>
      </w:r>
      <w:r>
        <w:rPr>
          <w:rFonts w:ascii="Times New Roman" w:hAnsi="Times New Roman"/>
          <w:lang w:val="en-GB"/>
        </w:rPr>
        <w:t xml:space="preserve"> and </w:t>
      </w:r>
      <w:r w:rsidRPr="0025179A">
        <w:rPr>
          <w:rFonts w:ascii="Times New Roman" w:hAnsi="Times New Roman"/>
          <w:lang w:val="en-GB"/>
        </w:rPr>
        <w:t>Portland</w:t>
      </w:r>
      <w:r>
        <w:rPr>
          <w:rFonts w:ascii="Times New Roman" w:hAnsi="Times New Roman"/>
          <w:lang w:val="en-GB"/>
        </w:rPr>
        <w:t>:</w:t>
      </w:r>
      <w:r w:rsidRPr="0025179A">
        <w:rPr>
          <w:rFonts w:ascii="Times New Roman" w:hAnsi="Times New Roman"/>
          <w:lang w:val="en-GB"/>
        </w:rPr>
        <w:t xml:space="preserve"> Hart, 201</w:t>
      </w:r>
      <w:r>
        <w:rPr>
          <w:rFonts w:ascii="Times New Roman" w:hAnsi="Times New Roman"/>
          <w:lang w:val="en-GB"/>
        </w:rPr>
        <w:t xml:space="preserve">2; </w:t>
      </w:r>
      <w:r w:rsidRPr="00DA56AE">
        <w:rPr>
          <w:rFonts w:ascii="Times New Roman" w:hAnsi="Times New Roman"/>
          <w:iCs/>
          <w:lang w:val="en-GB"/>
        </w:rPr>
        <w:t xml:space="preserve">S. Sankari, </w:t>
      </w:r>
      <w:r w:rsidRPr="00C13CDF">
        <w:rPr>
          <w:rFonts w:ascii="Times New Roman" w:hAnsi="Times New Roman"/>
          <w:bCs/>
          <w:i/>
          <w:iCs/>
          <w:lang w:val="en-GB"/>
        </w:rPr>
        <w:t>European Court of Justice Legal Reasoning in Context</w:t>
      </w:r>
      <w:r w:rsidRPr="00C13CDF">
        <w:rPr>
          <w:rFonts w:ascii="Times New Roman" w:hAnsi="Times New Roman"/>
          <w:bCs/>
          <w:iCs/>
          <w:lang w:val="en-GB"/>
        </w:rPr>
        <w:t xml:space="preserve">, </w:t>
      </w:r>
      <w:r w:rsidRPr="00DA56AE">
        <w:rPr>
          <w:rFonts w:ascii="Times New Roman" w:hAnsi="Times New Roman"/>
          <w:iCs/>
          <w:lang w:val="en-GB"/>
        </w:rPr>
        <w:t>Groning</w:t>
      </w:r>
      <w:r>
        <w:rPr>
          <w:rFonts w:ascii="Times New Roman" w:hAnsi="Times New Roman"/>
          <w:iCs/>
          <w:lang w:val="en-GB"/>
        </w:rPr>
        <w:t>en, Europa Law Publishing, 2013</w:t>
      </w:r>
      <w:r>
        <w:rPr>
          <w:rFonts w:ascii="Times New Roman" w:hAnsi="Times New Roman"/>
          <w:lang w:val="en-GB"/>
        </w:rPr>
        <w:t>.</w:t>
      </w:r>
    </w:p>
  </w:footnote>
  <w:footnote w:id="152">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P. Pescatore, </w:t>
      </w:r>
      <w:r w:rsidRPr="00D73610">
        <w:rPr>
          <w:rFonts w:ascii="Times New Roman" w:hAnsi="Times New Roman"/>
          <w:i/>
          <w:lang w:val="en-GB"/>
        </w:rPr>
        <w:t>Vade-mecum. Recueil de formules et de conseils pratiques à l’usage des rédacteurs d’arrêts</w:t>
      </w:r>
      <w:r>
        <w:rPr>
          <w:rFonts w:ascii="Times New Roman" w:hAnsi="Times New Roman"/>
          <w:lang w:val="en-GB"/>
        </w:rPr>
        <w:t xml:space="preserve">, </w:t>
      </w:r>
      <w:r w:rsidRPr="00D73610">
        <w:rPr>
          <w:rFonts w:ascii="Times New Roman" w:hAnsi="Times New Roman"/>
          <w:lang w:val="en-GB"/>
        </w:rPr>
        <w:t>3rd ed.</w:t>
      </w:r>
      <w:r>
        <w:rPr>
          <w:rFonts w:ascii="Times New Roman" w:hAnsi="Times New Roman"/>
          <w:lang w:val="en-GB"/>
        </w:rPr>
        <w:t xml:space="preserve"> of </w:t>
      </w:r>
      <w:r w:rsidRPr="00D73610">
        <w:rPr>
          <w:rFonts w:ascii="Times New Roman" w:hAnsi="Times New Roman"/>
          <w:lang w:val="en-GB"/>
        </w:rPr>
        <w:t>1985</w:t>
      </w:r>
      <w:r>
        <w:rPr>
          <w:rFonts w:ascii="Times New Roman" w:hAnsi="Times New Roman"/>
          <w:lang w:val="en-GB"/>
        </w:rPr>
        <w:t xml:space="preserve"> (</w:t>
      </w:r>
      <w:r w:rsidRPr="00D73610">
        <w:rPr>
          <w:rFonts w:ascii="Times New Roman" w:hAnsi="Times New Roman"/>
          <w:lang w:val="en-GB"/>
        </w:rPr>
        <w:t>Bruxelles</w:t>
      </w:r>
      <w:r>
        <w:rPr>
          <w:rFonts w:ascii="Times New Roman" w:hAnsi="Times New Roman"/>
          <w:lang w:val="en-GB"/>
        </w:rPr>
        <w:t xml:space="preserve">: </w:t>
      </w:r>
      <w:r w:rsidRPr="00D73610">
        <w:rPr>
          <w:rFonts w:ascii="Times New Roman" w:hAnsi="Times New Roman"/>
          <w:lang w:val="en-GB"/>
        </w:rPr>
        <w:t>Bruylant, 2007</w:t>
      </w:r>
      <w:r>
        <w:rPr>
          <w:rFonts w:ascii="Times New Roman" w:hAnsi="Times New Roman"/>
          <w:lang w:val="en-GB"/>
        </w:rPr>
        <w:t>)</w:t>
      </w:r>
      <w:r w:rsidRPr="00D73610">
        <w:rPr>
          <w:rFonts w:ascii="Times New Roman" w:hAnsi="Times New Roman"/>
          <w:lang w:val="en-GB"/>
        </w:rPr>
        <w:t xml:space="preserve">, </w:t>
      </w:r>
      <w:r>
        <w:rPr>
          <w:rFonts w:ascii="Times New Roman" w:hAnsi="Times New Roman"/>
          <w:lang w:val="en-GB"/>
        </w:rPr>
        <w:t xml:space="preserve">at </w:t>
      </w:r>
      <w:r w:rsidRPr="00D73610">
        <w:rPr>
          <w:rFonts w:ascii="Times New Roman" w:hAnsi="Times New Roman"/>
          <w:lang w:val="en-GB"/>
        </w:rPr>
        <w:t>292.</w:t>
      </w:r>
    </w:p>
  </w:footnote>
  <w:footnote w:id="153">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Edwards, </w:t>
      </w:r>
      <w:r>
        <w:rPr>
          <w:rFonts w:ascii="Times New Roman" w:hAnsi="Times New Roman"/>
          <w:lang w:val="en-GB"/>
        </w:rPr>
        <w:t>‘</w:t>
      </w:r>
      <w:r w:rsidRPr="00D73610">
        <w:rPr>
          <w:rFonts w:ascii="Times New Roman" w:hAnsi="Times New Roman"/>
          <w:lang w:val="en-GB"/>
        </w:rPr>
        <w:t>How the Court of Justice Works</w:t>
      </w:r>
      <w:r>
        <w:rPr>
          <w:rFonts w:ascii="Times New Roman" w:hAnsi="Times New Roman"/>
          <w:lang w:val="en-GB"/>
        </w:rPr>
        <w:t>’</w:t>
      </w:r>
      <w:r w:rsidRPr="00D73610">
        <w:rPr>
          <w:rFonts w:ascii="Times New Roman" w:hAnsi="Times New Roman"/>
          <w:lang w:val="en-GB"/>
        </w:rPr>
        <w:t>, cit., 557</w:t>
      </w:r>
      <w:r>
        <w:rPr>
          <w:rFonts w:ascii="Times New Roman" w:hAnsi="Times New Roman"/>
          <w:lang w:val="en-GB"/>
        </w:rPr>
        <w:t>:</w:t>
      </w:r>
      <w:r>
        <w:rPr>
          <w:rFonts w:ascii="Times New Roman" w:hAnsi="Times New Roman"/>
          <w:sz w:val="24"/>
          <w:szCs w:val="24"/>
          <w:lang w:val="en-GB"/>
        </w:rPr>
        <w:t xml:space="preserve"> </w:t>
      </w:r>
      <w:r>
        <w:rPr>
          <w:rFonts w:ascii="Times New Roman" w:hAnsi="Times New Roman"/>
          <w:lang w:val="en-GB"/>
        </w:rPr>
        <w:t>‘</w:t>
      </w:r>
      <w:r w:rsidRPr="00CF49BE">
        <w:rPr>
          <w:rFonts w:ascii="Times New Roman" w:hAnsi="Times New Roman"/>
          <w:lang w:val="en-GB"/>
        </w:rPr>
        <w:t>some judgments of the Court of Justice are camels</w:t>
      </w:r>
      <w:r>
        <w:rPr>
          <w:rFonts w:ascii="Times New Roman" w:hAnsi="Times New Roman"/>
          <w:lang w:val="en-GB"/>
        </w:rPr>
        <w:t>’</w:t>
      </w:r>
      <w:r w:rsidRPr="00D73610">
        <w:rPr>
          <w:rFonts w:ascii="Times New Roman" w:hAnsi="Times New Roman"/>
          <w:lang w:val="en-GB"/>
        </w:rPr>
        <w:t>.</w:t>
      </w:r>
    </w:p>
  </w:footnote>
  <w:footnote w:id="154">
    <w:p w:rsidR="005E6612" w:rsidRDefault="005E6612" w:rsidP="00BC4D40">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G.F. Mancini, </w:t>
      </w:r>
      <w:r w:rsidR="00CC7606">
        <w:rPr>
          <w:rFonts w:ascii="Times New Roman" w:hAnsi="Times New Roman"/>
          <w:lang w:val="en-GB"/>
        </w:rPr>
        <w:fldChar w:fldCharType="begin"/>
      </w:r>
      <w:r w:rsidRPr="00D73610">
        <w:rPr>
          <w:rFonts w:ascii="Times New Roman" w:hAnsi="Times New Roman"/>
          <w:lang w:val="en-GB"/>
        </w:rPr>
        <w:instrText>xe "Mancini, G.F."</w:instrText>
      </w:r>
      <w:r w:rsidR="00CC7606">
        <w:rPr>
          <w:rFonts w:ascii="Times New Roman" w:hAnsi="Times New Roman"/>
          <w:lang w:val="en-GB"/>
        </w:rPr>
        <w:fldChar w:fldCharType="end"/>
      </w:r>
      <w:r w:rsidRPr="00D73610">
        <w:rPr>
          <w:rFonts w:ascii="Times New Roman" w:hAnsi="Times New Roman"/>
          <w:lang w:val="en-GB"/>
        </w:rPr>
        <w:t>D.T. Keeling</w:t>
      </w:r>
      <w:r w:rsidR="00CC7606">
        <w:rPr>
          <w:rFonts w:ascii="Times New Roman" w:hAnsi="Times New Roman"/>
          <w:lang w:val="en-GB"/>
        </w:rPr>
        <w:fldChar w:fldCharType="begin"/>
      </w:r>
      <w:r w:rsidRPr="00D73610">
        <w:rPr>
          <w:rFonts w:ascii="Times New Roman" w:hAnsi="Times New Roman"/>
          <w:lang w:val="en-GB"/>
        </w:rPr>
        <w:instrText>xe "Keeling, D.T."</w:instrText>
      </w:r>
      <w:r w:rsidR="00CC7606">
        <w:rPr>
          <w:rFonts w:ascii="Times New Roman" w:hAnsi="Times New Roman"/>
          <w:lang w:val="en-GB"/>
        </w:rPr>
        <w:fldChar w:fldCharType="end"/>
      </w:r>
      <w:r w:rsidRPr="00D73610">
        <w:rPr>
          <w:rFonts w:ascii="Times New Roman" w:hAnsi="Times New Roman"/>
          <w:lang w:val="en-GB"/>
        </w:rPr>
        <w:t xml:space="preserve">, </w:t>
      </w:r>
      <w:r>
        <w:rPr>
          <w:rFonts w:ascii="Times New Roman" w:hAnsi="Times New Roman"/>
          <w:lang w:val="en-GB"/>
        </w:rPr>
        <w:t>‘</w:t>
      </w:r>
      <w:r w:rsidRPr="00D73610">
        <w:rPr>
          <w:rFonts w:ascii="Times New Roman" w:hAnsi="Times New Roman"/>
          <w:lang w:val="en-GB"/>
        </w:rPr>
        <w:t>Language, Culture and Politics in the Life of the European Court of Justice</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bCs/>
          <w:i/>
          <w:lang w:val="en-GB"/>
        </w:rPr>
        <w:t>Columbia Journal of European Law</w:t>
      </w:r>
      <w:r>
        <w:rPr>
          <w:rFonts w:ascii="Times New Roman" w:hAnsi="Times New Roman"/>
          <w:bCs/>
          <w:lang w:val="en-GB"/>
        </w:rPr>
        <w:t>, 1 (</w:t>
      </w:r>
      <w:r w:rsidRPr="00D73610">
        <w:rPr>
          <w:rFonts w:ascii="Times New Roman" w:hAnsi="Times New Roman"/>
          <w:bCs/>
          <w:lang w:val="en-GB"/>
        </w:rPr>
        <w:t>1994-1995</w:t>
      </w:r>
      <w:r>
        <w:rPr>
          <w:rFonts w:ascii="Times New Roman" w:hAnsi="Times New Roman"/>
          <w:bCs/>
          <w:lang w:val="en-GB"/>
        </w:rPr>
        <w:t>)</w:t>
      </w:r>
      <w:r w:rsidRPr="00D73610">
        <w:rPr>
          <w:rFonts w:ascii="Times New Roman" w:hAnsi="Times New Roman"/>
          <w:bCs/>
          <w:lang w:val="en-GB"/>
        </w:rPr>
        <w:t>, 397</w:t>
      </w:r>
      <w:r w:rsidRPr="00D73610">
        <w:rPr>
          <w:rFonts w:ascii="Times New Roman" w:hAnsi="Times New Roman"/>
          <w:lang w:val="en-GB"/>
        </w:rPr>
        <w:t xml:space="preserve">–413, </w:t>
      </w:r>
      <w:r>
        <w:rPr>
          <w:rFonts w:ascii="Times New Roman" w:hAnsi="Times New Roman"/>
          <w:lang w:val="en-GB"/>
        </w:rPr>
        <w:t xml:space="preserve">at </w:t>
      </w:r>
      <w:r w:rsidRPr="00D73610">
        <w:rPr>
          <w:rFonts w:ascii="Times New Roman" w:hAnsi="Times New Roman"/>
          <w:lang w:val="en-GB"/>
        </w:rPr>
        <w:t>398.</w:t>
      </w:r>
    </w:p>
  </w:footnote>
  <w:footnote w:id="155">
    <w:p w:rsidR="005E6612" w:rsidRDefault="005E6612" w:rsidP="00BC4D40">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Hartley, </w:t>
      </w:r>
      <w:r w:rsidRPr="00D73610">
        <w:rPr>
          <w:rFonts w:ascii="Times New Roman" w:hAnsi="Times New Roman"/>
          <w:i/>
          <w:lang w:val="en-GB"/>
        </w:rPr>
        <w:t>The Foundations</w:t>
      </w:r>
      <w:r w:rsidRPr="00D73610">
        <w:rPr>
          <w:rFonts w:ascii="Times New Roman" w:hAnsi="Times New Roman"/>
          <w:lang w:val="en-GB"/>
        </w:rPr>
        <w:t>, cit., 75.</w:t>
      </w:r>
    </w:p>
  </w:footnote>
  <w:footnote w:id="156">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Case C-803/79, </w:t>
      </w:r>
      <w:r w:rsidRPr="00D73610">
        <w:rPr>
          <w:rFonts w:ascii="Times New Roman" w:hAnsi="Times New Roman"/>
          <w:i/>
          <w:lang w:val="en-GB"/>
        </w:rPr>
        <w:t>Roudolff</w:t>
      </w:r>
      <w:r w:rsidRPr="00D73610">
        <w:rPr>
          <w:rFonts w:ascii="Times New Roman" w:hAnsi="Times New Roman"/>
          <w:lang w:val="en-GB"/>
        </w:rPr>
        <w:t xml:space="preserve"> [1980], ECR </w:t>
      </w:r>
      <w:r w:rsidRPr="00D73610">
        <w:rPr>
          <w:rFonts w:ascii="Times New Roman" w:hAnsi="Times New Roman"/>
          <w:bCs/>
          <w:lang w:val="en-GB"/>
        </w:rPr>
        <w:t>2015,</w:t>
      </w:r>
      <w:r w:rsidRPr="00D73610">
        <w:rPr>
          <w:rFonts w:ascii="Times New Roman" w:hAnsi="Times New Roman"/>
          <w:b/>
          <w:bCs/>
          <w:lang w:val="en-GB"/>
        </w:rPr>
        <w:t xml:space="preserve"> </w:t>
      </w:r>
      <w:r>
        <w:rPr>
          <w:rFonts w:ascii="Times New Roman" w:hAnsi="Times New Roman"/>
          <w:lang w:val="en-GB"/>
        </w:rPr>
        <w:t>para.</w:t>
      </w:r>
      <w:r w:rsidRPr="00D73610">
        <w:rPr>
          <w:rFonts w:ascii="Times New Roman" w:hAnsi="Times New Roman"/>
          <w:lang w:val="en-GB"/>
        </w:rPr>
        <w:t>7.</w:t>
      </w:r>
    </w:p>
  </w:footnote>
  <w:footnote w:id="157">
    <w:p w:rsidR="005E6612" w:rsidRDefault="005E6612" w:rsidP="00B27D8E">
      <w:pPr>
        <w:pStyle w:val="Testonotaapidipagina"/>
        <w:jc w:val="both"/>
      </w:pPr>
      <w:r w:rsidRPr="00D73610">
        <w:rPr>
          <w:rStyle w:val="Rimandonotaapidipagina"/>
          <w:rFonts w:ascii="Times New Roman" w:hAnsi="Times New Roman"/>
          <w:lang w:val="en-GB"/>
        </w:rPr>
        <w:footnoteRef/>
      </w:r>
      <w:r w:rsidRPr="00CD0778">
        <w:rPr>
          <w:rFonts w:ascii="Times New Roman" w:hAnsi="Times New Roman"/>
          <w:lang w:val="es-ES"/>
        </w:rPr>
        <w:t xml:space="preserve"> Case C-34/78, </w:t>
      </w:r>
      <w:r w:rsidRPr="00CD0778">
        <w:rPr>
          <w:rFonts w:ascii="Times New Roman" w:hAnsi="Times New Roman"/>
          <w:i/>
          <w:lang w:val="es-ES"/>
        </w:rPr>
        <w:t>Yoshida</w:t>
      </w:r>
      <w:r w:rsidRPr="00CD0778">
        <w:rPr>
          <w:rFonts w:ascii="Times New Roman" w:hAnsi="Times New Roman"/>
          <w:lang w:val="es-ES"/>
        </w:rPr>
        <w:t xml:space="preserve"> [1979] ECR 115, para. </w:t>
      </w:r>
      <w:r w:rsidRPr="007945B9">
        <w:rPr>
          <w:rFonts w:ascii="Times New Roman" w:hAnsi="Times New Roman"/>
          <w:lang w:val="es-ES"/>
        </w:rPr>
        <w:t xml:space="preserve">10. </w:t>
      </w:r>
    </w:p>
  </w:footnote>
  <w:footnote w:id="158">
    <w:p w:rsidR="005E6612" w:rsidRDefault="005E6612" w:rsidP="00B27D8E">
      <w:pPr>
        <w:pStyle w:val="Testonotaapidipagina"/>
        <w:jc w:val="both"/>
      </w:pPr>
      <w:r w:rsidRPr="00D73610">
        <w:rPr>
          <w:rStyle w:val="Rimandonotaapidipagina"/>
          <w:rFonts w:ascii="Times New Roman" w:hAnsi="Times New Roman"/>
          <w:lang w:val="en-GB"/>
        </w:rPr>
        <w:footnoteRef/>
      </w:r>
      <w:r w:rsidRPr="00CD0778">
        <w:rPr>
          <w:rFonts w:ascii="Times New Roman" w:hAnsi="Times New Roman"/>
          <w:lang w:val="es-ES"/>
        </w:rPr>
        <w:t xml:space="preserve"> Case C-160/80, </w:t>
      </w:r>
      <w:r w:rsidRPr="00CD0778">
        <w:rPr>
          <w:rFonts w:ascii="Times New Roman" w:hAnsi="Times New Roman"/>
          <w:i/>
          <w:lang w:val="es-ES"/>
        </w:rPr>
        <w:t xml:space="preserve">Smuling-de Leeuw </w:t>
      </w:r>
      <w:r w:rsidRPr="00CD0778">
        <w:rPr>
          <w:rFonts w:ascii="Times New Roman" w:hAnsi="Times New Roman"/>
          <w:lang w:val="es-ES"/>
        </w:rPr>
        <w:t xml:space="preserve">[1981] ECR 1767, para. </w:t>
      </w:r>
      <w:r w:rsidRPr="00D73610">
        <w:rPr>
          <w:rFonts w:ascii="Times New Roman" w:hAnsi="Times New Roman"/>
          <w:lang w:val="en-GB"/>
        </w:rPr>
        <w:t>10.</w:t>
      </w:r>
    </w:p>
  </w:footnote>
  <w:footnote w:id="159">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Case C-395/93, </w:t>
      </w:r>
      <w:r w:rsidRPr="00D73610">
        <w:rPr>
          <w:rFonts w:ascii="Times New Roman" w:hAnsi="Times New Roman"/>
          <w:bCs/>
          <w:i/>
          <w:lang w:val="en-GB"/>
        </w:rPr>
        <w:t xml:space="preserve">Neckermann </w:t>
      </w:r>
      <w:r w:rsidRPr="00D73610">
        <w:rPr>
          <w:rFonts w:ascii="Times New Roman" w:hAnsi="Times New Roman"/>
          <w:lang w:val="en-GB"/>
        </w:rPr>
        <w:t xml:space="preserve">[1994] ECR I-4027, </w:t>
      </w:r>
      <w:r>
        <w:rPr>
          <w:rFonts w:ascii="Times New Roman" w:hAnsi="Times New Roman"/>
          <w:lang w:val="en-GB"/>
        </w:rPr>
        <w:t>para.</w:t>
      </w:r>
      <w:r w:rsidRPr="00D73610">
        <w:rPr>
          <w:rFonts w:ascii="Times New Roman" w:hAnsi="Times New Roman"/>
          <w:lang w:val="en-GB"/>
        </w:rPr>
        <w:t xml:space="preserve"> 7. See also Case </w:t>
      </w:r>
      <w:r w:rsidRPr="00D73610">
        <w:rPr>
          <w:rFonts w:ascii="Times New Roman" w:hAnsi="Times New Roman"/>
          <w:bCs/>
          <w:lang w:val="en-GB"/>
        </w:rPr>
        <w:t xml:space="preserve">C-338/95, </w:t>
      </w:r>
      <w:r w:rsidRPr="00D73610">
        <w:rPr>
          <w:rFonts w:ascii="Times New Roman" w:hAnsi="Times New Roman"/>
          <w:bCs/>
          <w:i/>
          <w:lang w:val="en-GB"/>
        </w:rPr>
        <w:t>Wiener</w:t>
      </w:r>
      <w:r w:rsidRPr="00D73610">
        <w:rPr>
          <w:rFonts w:ascii="Times New Roman" w:hAnsi="Times New Roman"/>
          <w:bCs/>
          <w:lang w:val="en-GB"/>
        </w:rPr>
        <w:t xml:space="preserve"> [1997] </w:t>
      </w:r>
      <w:r w:rsidRPr="00D73610">
        <w:rPr>
          <w:rFonts w:ascii="Times New Roman" w:hAnsi="Times New Roman"/>
          <w:bCs/>
          <w:iCs/>
          <w:lang w:val="en-GB"/>
        </w:rPr>
        <w:t>ECR</w:t>
      </w:r>
      <w:r w:rsidRPr="00D73610">
        <w:rPr>
          <w:rFonts w:ascii="Times New Roman" w:hAnsi="Times New Roman"/>
          <w:bCs/>
          <w:lang w:val="en-GB"/>
        </w:rPr>
        <w:t xml:space="preserve"> I-6495 (on the concept of </w:t>
      </w:r>
      <w:r>
        <w:rPr>
          <w:rFonts w:ascii="Times New Roman" w:hAnsi="Times New Roman"/>
          <w:bCs/>
          <w:lang w:val="en-GB"/>
        </w:rPr>
        <w:t>‘</w:t>
      </w:r>
      <w:r w:rsidRPr="00D73610">
        <w:rPr>
          <w:rFonts w:ascii="Times New Roman" w:hAnsi="Times New Roman"/>
          <w:bCs/>
          <w:lang w:val="en-GB"/>
        </w:rPr>
        <w:t>nightdress</w:t>
      </w:r>
      <w:r>
        <w:rPr>
          <w:rFonts w:ascii="Times New Roman" w:hAnsi="Times New Roman"/>
          <w:bCs/>
          <w:lang w:val="en-GB"/>
        </w:rPr>
        <w:t>’</w:t>
      </w:r>
      <w:r w:rsidRPr="00D73610">
        <w:rPr>
          <w:rFonts w:ascii="Times New Roman" w:hAnsi="Times New Roman"/>
          <w:bCs/>
          <w:lang w:val="en-GB"/>
        </w:rPr>
        <w:t xml:space="preserve">) and the Opinion of AG Jacobs: </w:t>
      </w:r>
      <w:r>
        <w:rPr>
          <w:rFonts w:ascii="Times New Roman" w:hAnsi="Times New Roman"/>
          <w:bCs/>
          <w:lang w:val="en-GB"/>
        </w:rPr>
        <w:t>‘</w:t>
      </w:r>
      <w:r w:rsidRPr="00D73610">
        <w:rPr>
          <w:rFonts w:ascii="Times New Roman" w:hAnsi="Times New Roman"/>
          <w:bCs/>
          <w:lang w:val="en-GB"/>
        </w:rPr>
        <w:t>The present case is a perfect example of a case where it may be questioned whether it is appropriate for this Court to be involved</w:t>
      </w:r>
      <w:r>
        <w:rPr>
          <w:rFonts w:ascii="Times New Roman" w:hAnsi="Times New Roman"/>
          <w:bCs/>
          <w:lang w:val="en-GB"/>
        </w:rPr>
        <w:t>’</w:t>
      </w:r>
      <w:r w:rsidRPr="00D73610">
        <w:rPr>
          <w:rFonts w:ascii="Times New Roman" w:hAnsi="Times New Roman"/>
          <w:bCs/>
          <w:lang w:val="en-GB"/>
        </w:rPr>
        <w:t>.</w:t>
      </w:r>
    </w:p>
  </w:footnote>
  <w:footnote w:id="160">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Case C-184/99 </w:t>
      </w:r>
      <w:r w:rsidRPr="00D73610">
        <w:rPr>
          <w:rFonts w:ascii="Times New Roman" w:hAnsi="Times New Roman"/>
          <w:i/>
          <w:iCs/>
          <w:lang w:val="en-GB"/>
        </w:rPr>
        <w:t>Grzelczyk</w:t>
      </w:r>
      <w:r w:rsidRPr="00D73610">
        <w:rPr>
          <w:rFonts w:ascii="Times New Roman" w:hAnsi="Times New Roman"/>
          <w:lang w:val="en-GB"/>
        </w:rPr>
        <w:t xml:space="preserve"> [2001] ECR I-6193, </w:t>
      </w:r>
      <w:r>
        <w:rPr>
          <w:rFonts w:ascii="Times New Roman" w:hAnsi="Times New Roman"/>
          <w:lang w:val="en-GB"/>
        </w:rPr>
        <w:t>para.</w:t>
      </w:r>
      <w:r w:rsidRPr="00D73610">
        <w:rPr>
          <w:rFonts w:ascii="Times New Roman" w:hAnsi="Times New Roman"/>
          <w:lang w:val="en-GB"/>
        </w:rPr>
        <w:t xml:space="preserve"> 31. See lastly Case C</w:t>
      </w:r>
      <w:r w:rsidRPr="00D73610">
        <w:rPr>
          <w:rFonts w:ascii="Times New Roman" w:hAnsi="Times New Roman"/>
          <w:lang w:val="en-GB"/>
        </w:rPr>
        <w:noBreakHyphen/>
        <w:t xml:space="preserve">503/09, </w:t>
      </w:r>
      <w:r w:rsidRPr="00D73610">
        <w:rPr>
          <w:rFonts w:ascii="Times New Roman" w:hAnsi="Times New Roman"/>
          <w:bCs/>
          <w:i/>
          <w:lang w:val="en-GB"/>
        </w:rPr>
        <w:t>Stewart</w:t>
      </w:r>
      <w:r w:rsidRPr="00D73610">
        <w:rPr>
          <w:rFonts w:ascii="Times New Roman" w:hAnsi="Times New Roman"/>
          <w:lang w:val="en-GB"/>
        </w:rPr>
        <w:t xml:space="preserve"> [2011], </w:t>
      </w:r>
      <w:r w:rsidRPr="00340834">
        <w:rPr>
          <w:rFonts w:ascii="Times New Roman" w:hAnsi="Times New Roman"/>
          <w:lang w:val="en-GB"/>
        </w:rPr>
        <w:t>ECR I-6497</w:t>
      </w:r>
      <w:r w:rsidRPr="00D73610">
        <w:rPr>
          <w:rFonts w:ascii="Times New Roman" w:hAnsi="Times New Roman"/>
          <w:lang w:val="en-GB"/>
        </w:rPr>
        <w:t xml:space="preserve">, </w:t>
      </w:r>
      <w:r>
        <w:rPr>
          <w:rFonts w:ascii="Times New Roman" w:hAnsi="Times New Roman"/>
          <w:lang w:val="en-GB"/>
        </w:rPr>
        <w:t>para.</w:t>
      </w:r>
      <w:r w:rsidRPr="00D73610">
        <w:rPr>
          <w:rFonts w:ascii="Times New Roman" w:hAnsi="Times New Roman"/>
          <w:lang w:val="en-GB"/>
        </w:rPr>
        <w:t xml:space="preserve"> 80.</w:t>
      </w:r>
    </w:p>
  </w:footnote>
  <w:footnote w:id="161">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bCs/>
          <w:lang w:val="en-GB"/>
        </w:rPr>
        <w:t xml:space="preserve">J.H.H. Weiler, </w:t>
      </w:r>
      <w:r>
        <w:rPr>
          <w:rFonts w:ascii="Times New Roman" w:hAnsi="Times New Roman"/>
          <w:bCs/>
          <w:lang w:val="en-GB"/>
        </w:rPr>
        <w:t>‘</w:t>
      </w:r>
      <w:r w:rsidRPr="00D73610">
        <w:rPr>
          <w:rFonts w:ascii="Times New Roman" w:hAnsi="Times New Roman"/>
          <w:bCs/>
          <w:lang w:val="en-GB"/>
        </w:rPr>
        <w:t>Epilogue: The Judicial Après Nice</w:t>
      </w:r>
      <w:r>
        <w:rPr>
          <w:rFonts w:ascii="Times New Roman" w:hAnsi="Times New Roman"/>
          <w:bCs/>
          <w:lang w:val="en-GB"/>
        </w:rPr>
        <w:t>’</w:t>
      </w:r>
      <w:r w:rsidRPr="00D73610">
        <w:rPr>
          <w:rFonts w:ascii="Times New Roman" w:hAnsi="Times New Roman"/>
          <w:bCs/>
          <w:lang w:val="en-GB"/>
        </w:rPr>
        <w:t xml:space="preserve">, in </w:t>
      </w:r>
      <w:r w:rsidRPr="00D73610">
        <w:rPr>
          <w:rFonts w:ascii="Times New Roman" w:hAnsi="Times New Roman"/>
          <w:lang w:val="en-GB"/>
        </w:rPr>
        <w:t xml:space="preserve">G. de Búrca, J.H.H. Weiler (eds.), </w:t>
      </w:r>
      <w:r w:rsidRPr="00D73610">
        <w:rPr>
          <w:rFonts w:ascii="Times New Roman" w:hAnsi="Times New Roman"/>
          <w:i/>
          <w:lang w:val="en-GB"/>
        </w:rPr>
        <w:t>The European Court of Justice</w:t>
      </w:r>
      <w:r w:rsidRPr="00D73610">
        <w:rPr>
          <w:rFonts w:ascii="Times New Roman" w:hAnsi="Times New Roman"/>
          <w:lang w:val="en-GB"/>
        </w:rPr>
        <w:t>, Oxford, OUP, 2001,</w:t>
      </w:r>
      <w:r w:rsidRPr="00D73610">
        <w:rPr>
          <w:rFonts w:ascii="Times New Roman" w:hAnsi="Times New Roman"/>
          <w:bCs/>
          <w:lang w:val="en-GB"/>
        </w:rPr>
        <w:t xml:space="preserve"> 225 and 219 (</w:t>
      </w:r>
      <w:r>
        <w:rPr>
          <w:rFonts w:ascii="Times New Roman" w:hAnsi="Times New Roman"/>
          <w:bCs/>
          <w:lang w:val="en-GB"/>
        </w:rPr>
        <w:t>‘</w:t>
      </w:r>
      <w:r w:rsidRPr="00D73610">
        <w:rPr>
          <w:rFonts w:ascii="Times New Roman" w:hAnsi="Times New Roman"/>
          <w:bCs/>
          <w:lang w:val="en-GB"/>
        </w:rPr>
        <w:t>the style of judicial decisions is outmoded, does not reflect the dialogical nature of European Constitutionalism</w:t>
      </w:r>
      <w:r>
        <w:rPr>
          <w:rFonts w:ascii="Times New Roman" w:hAnsi="Times New Roman"/>
          <w:bCs/>
          <w:lang w:val="en-GB"/>
        </w:rPr>
        <w:t>’</w:t>
      </w:r>
      <w:r w:rsidRPr="00D73610">
        <w:rPr>
          <w:rFonts w:ascii="Times New Roman" w:hAnsi="Times New Roman"/>
          <w:bCs/>
          <w:lang w:val="en-GB"/>
        </w:rPr>
        <w:t xml:space="preserve">); </w:t>
      </w:r>
      <w:r w:rsidRPr="00D73610">
        <w:rPr>
          <w:rFonts w:ascii="Times New Roman" w:hAnsi="Times New Roman"/>
          <w:lang w:val="en-GB"/>
        </w:rPr>
        <w:t xml:space="preserve">A. Arnull, </w:t>
      </w:r>
      <w:r w:rsidRPr="00D73610">
        <w:rPr>
          <w:rFonts w:ascii="Times New Roman" w:hAnsi="Times New Roman"/>
          <w:i/>
          <w:lang w:val="en-GB"/>
        </w:rPr>
        <w:t>The European Union and Its Court of Justice</w:t>
      </w:r>
      <w:r w:rsidRPr="00D73610">
        <w:rPr>
          <w:rFonts w:ascii="Times New Roman" w:hAnsi="Times New Roman"/>
          <w:lang w:val="en-GB"/>
        </w:rPr>
        <w:t>, 2nd ed., Oxford, OUP, 2006</w:t>
      </w:r>
      <w:r w:rsidRPr="00D73610">
        <w:rPr>
          <w:rFonts w:ascii="Times New Roman" w:hAnsi="Times New Roman"/>
          <w:bCs/>
          <w:lang w:val="en-GB"/>
        </w:rPr>
        <w:t>, 12.</w:t>
      </w:r>
    </w:p>
  </w:footnote>
  <w:footnote w:id="162">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Hartley, </w:t>
      </w:r>
      <w:r w:rsidRPr="00D73610">
        <w:rPr>
          <w:rFonts w:ascii="Times New Roman" w:hAnsi="Times New Roman"/>
          <w:i/>
          <w:lang w:val="en-GB"/>
        </w:rPr>
        <w:t>The Foundations</w:t>
      </w:r>
      <w:r w:rsidRPr="00D73610">
        <w:rPr>
          <w:rFonts w:ascii="Times New Roman" w:hAnsi="Times New Roman"/>
          <w:lang w:val="en-GB"/>
        </w:rPr>
        <w:t>, cit., 74.</w:t>
      </w:r>
    </w:p>
  </w:footnote>
  <w:footnote w:id="163">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M. Wells, </w:t>
      </w:r>
      <w:r>
        <w:rPr>
          <w:rFonts w:ascii="Times New Roman" w:hAnsi="Times New Roman"/>
          <w:lang w:val="en-GB"/>
        </w:rPr>
        <w:t>‘</w:t>
      </w:r>
      <w:r w:rsidRPr="00D73610">
        <w:rPr>
          <w:rFonts w:ascii="Times New Roman" w:hAnsi="Times New Roman"/>
          <w:lang w:val="en-GB"/>
        </w:rPr>
        <w:t>French and American Judicial Opinions</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lang w:val="en-GB"/>
        </w:rPr>
        <w:t>Yale Journal of International Law</w:t>
      </w:r>
      <w:r w:rsidRPr="00D73610">
        <w:rPr>
          <w:rFonts w:ascii="Times New Roman" w:hAnsi="Times New Roman"/>
          <w:lang w:val="en-GB"/>
        </w:rPr>
        <w:t xml:space="preserve">, 19, 1994, 85–103, 92 and 94; U. Everling, </w:t>
      </w:r>
      <w:r>
        <w:rPr>
          <w:rFonts w:ascii="Times New Roman" w:hAnsi="Times New Roman"/>
          <w:lang w:val="en-GB"/>
        </w:rPr>
        <w:t>‘</w:t>
      </w:r>
      <w:r w:rsidRPr="00D73610">
        <w:rPr>
          <w:rFonts w:ascii="Times New Roman" w:hAnsi="Times New Roman"/>
          <w:lang w:val="en-GB"/>
        </w:rPr>
        <w:t>Reflections on the Reasoning in the Judgments of the Court of Justice of the European Communities</w:t>
      </w:r>
      <w:r>
        <w:rPr>
          <w:rFonts w:ascii="Times New Roman" w:hAnsi="Times New Roman"/>
          <w:lang w:val="en-GB"/>
        </w:rPr>
        <w:t>’</w:t>
      </w:r>
      <w:r w:rsidRPr="00D73610">
        <w:rPr>
          <w:rFonts w:ascii="Times New Roman" w:hAnsi="Times New Roman"/>
          <w:lang w:val="en-GB"/>
        </w:rPr>
        <w:t xml:space="preserve">, in J. Rosenløv et al. (eds.), </w:t>
      </w:r>
      <w:r w:rsidRPr="00D73610">
        <w:rPr>
          <w:rFonts w:ascii="Times New Roman" w:hAnsi="Times New Roman"/>
          <w:i/>
          <w:lang w:val="en-GB"/>
        </w:rPr>
        <w:t>Festskrift til Ole Due</w:t>
      </w:r>
      <w:r w:rsidRPr="00D73610">
        <w:rPr>
          <w:rFonts w:ascii="Times New Roman" w:hAnsi="Times New Roman"/>
          <w:lang w:val="en-GB"/>
        </w:rPr>
        <w:t xml:space="preserve">, Gad, Kbh, 1994, 55–74, 59: </w:t>
      </w:r>
      <w:r>
        <w:rPr>
          <w:rFonts w:ascii="Times New Roman" w:hAnsi="Times New Roman"/>
          <w:lang w:val="en-GB"/>
        </w:rPr>
        <w:t>‘</w:t>
      </w:r>
      <w:r w:rsidRPr="00D73610">
        <w:rPr>
          <w:rFonts w:ascii="Times New Roman" w:hAnsi="Times New Roman"/>
          <w:lang w:val="en-GB"/>
        </w:rPr>
        <w:t>strict, disciplined form and apodictic brevity</w:t>
      </w:r>
      <w:r>
        <w:rPr>
          <w:rFonts w:ascii="Times New Roman" w:hAnsi="Times New Roman"/>
          <w:lang w:val="en-GB"/>
        </w:rPr>
        <w:t>’</w:t>
      </w:r>
      <w:r w:rsidRPr="00D73610">
        <w:rPr>
          <w:rFonts w:ascii="Times New Roman" w:hAnsi="Times New Roman"/>
          <w:lang w:val="en-GB"/>
        </w:rPr>
        <w:t>.</w:t>
      </w:r>
    </w:p>
  </w:footnote>
  <w:footnote w:id="164">
    <w:p w:rsidR="005E6612" w:rsidRDefault="005E6612" w:rsidP="00B27D8E">
      <w:pPr>
        <w:pStyle w:val="Testonotaapidipagina"/>
        <w:jc w:val="both"/>
      </w:pPr>
      <w:r w:rsidRPr="00D73610">
        <w:rPr>
          <w:rStyle w:val="Rimandonotaapidipagina"/>
          <w:rFonts w:ascii="Times New Roman" w:hAnsi="Times New Roman"/>
          <w:lang w:val="en-GB"/>
        </w:rPr>
        <w:footnoteRef/>
      </w:r>
      <w:r w:rsidRPr="00C13CDF">
        <w:rPr>
          <w:rFonts w:ascii="Times New Roman" w:hAnsi="Times New Roman"/>
        </w:rPr>
        <w:t xml:space="preserve"> G. Gorla, </w:t>
      </w:r>
      <w:r w:rsidRPr="00C13CDF">
        <w:rPr>
          <w:rFonts w:ascii="Times New Roman" w:hAnsi="Times New Roman"/>
          <w:i/>
        </w:rPr>
        <w:t>Lo stile delle sentenze</w:t>
      </w:r>
      <w:r w:rsidRPr="00C13CDF">
        <w:rPr>
          <w:rFonts w:ascii="Times New Roman" w:hAnsi="Times New Roman"/>
        </w:rPr>
        <w:t>, 2 voll., Roma, Soc. ed. Foro Italiano, 1968, I, 16.</w:t>
      </w:r>
    </w:p>
  </w:footnote>
  <w:footnote w:id="165">
    <w:p w:rsidR="005E6612" w:rsidRDefault="005E6612" w:rsidP="00B27D8E">
      <w:pPr>
        <w:pStyle w:val="Testonotaapidipagina"/>
        <w:jc w:val="both"/>
      </w:pPr>
      <w:r w:rsidRPr="00D73610">
        <w:rPr>
          <w:rStyle w:val="Rimandonotaapidipagina"/>
          <w:rFonts w:ascii="Times New Roman" w:hAnsi="Times New Roman"/>
          <w:lang w:val="en-GB"/>
        </w:rPr>
        <w:footnoteRef/>
      </w:r>
      <w:r w:rsidRPr="00C13CDF">
        <w:rPr>
          <w:rFonts w:ascii="Times New Roman" w:hAnsi="Times New Roman"/>
        </w:rPr>
        <w:t xml:space="preserve"> Lasser, </w:t>
      </w:r>
      <w:r w:rsidRPr="00C13CDF">
        <w:rPr>
          <w:rFonts w:ascii="Times New Roman" w:hAnsi="Times New Roman"/>
          <w:i/>
        </w:rPr>
        <w:t>op. cit</w:t>
      </w:r>
      <w:r w:rsidRPr="00C13CDF">
        <w:rPr>
          <w:rFonts w:ascii="Times New Roman" w:hAnsi="Times New Roman"/>
        </w:rPr>
        <w:t>.,</w:t>
      </w:r>
      <w:r w:rsidRPr="00C13CDF">
        <w:rPr>
          <w:rFonts w:ascii="Times New Roman" w:hAnsi="Times New Roman"/>
          <w:i/>
        </w:rPr>
        <w:t xml:space="preserve"> </w:t>
      </w:r>
      <w:r w:rsidRPr="00C13CDF">
        <w:rPr>
          <w:rFonts w:ascii="Times New Roman" w:hAnsi="Times New Roman"/>
        </w:rPr>
        <w:t>112</w:t>
      </w:r>
    </w:p>
  </w:footnote>
  <w:footnote w:id="166">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According to some authors, however, the tendency towards better argumentation has recentl</w:t>
      </w:r>
      <w:r>
        <w:rPr>
          <w:rFonts w:ascii="Times New Roman" w:hAnsi="Times New Roman"/>
          <w:lang w:val="en-GB"/>
        </w:rPr>
        <w:t xml:space="preserve">y turned into an opposite trend: see </w:t>
      </w:r>
      <w:r w:rsidRPr="00D73610">
        <w:rPr>
          <w:rFonts w:ascii="Times New Roman" w:hAnsi="Times New Roman"/>
          <w:lang w:val="en-GB"/>
        </w:rPr>
        <w:t xml:space="preserve">Komárek, </w:t>
      </w:r>
      <w:r>
        <w:rPr>
          <w:rFonts w:ascii="Times New Roman" w:hAnsi="Times New Roman"/>
          <w:lang w:val="en-GB"/>
        </w:rPr>
        <w:t>‘</w:t>
      </w:r>
      <w:r w:rsidRPr="00D73610">
        <w:rPr>
          <w:rFonts w:ascii="Times New Roman" w:hAnsi="Times New Roman"/>
          <w:lang w:val="en-GB"/>
        </w:rPr>
        <w:t>In the Court(s) We Trust?</w:t>
      </w:r>
      <w:r>
        <w:rPr>
          <w:rFonts w:ascii="Times New Roman" w:hAnsi="Times New Roman"/>
          <w:lang w:val="en-GB"/>
        </w:rPr>
        <w:t>’</w:t>
      </w:r>
      <w:r w:rsidRPr="00D73610">
        <w:rPr>
          <w:rFonts w:ascii="Times New Roman" w:hAnsi="Times New Roman"/>
          <w:lang w:val="en-GB"/>
        </w:rPr>
        <w:t xml:space="preserve">, cit., 482; M. Bobek, </w:t>
      </w:r>
      <w:r>
        <w:rPr>
          <w:rFonts w:ascii="Times New Roman" w:hAnsi="Times New Roman"/>
          <w:lang w:val="en-GB"/>
        </w:rPr>
        <w:t>‘</w:t>
      </w:r>
      <w:r w:rsidRPr="00D73610">
        <w:rPr>
          <w:rFonts w:ascii="Times New Roman" w:hAnsi="Times New Roman"/>
          <w:lang w:val="en-GB"/>
        </w:rPr>
        <w:t>Learning to Talk: Preliminary Rulings, the Courts of the New Member States and the Court of Justice</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lang w:val="en-GB"/>
        </w:rPr>
        <w:t>Common Market Law Review</w:t>
      </w:r>
      <w:r w:rsidRPr="00D73610">
        <w:rPr>
          <w:rFonts w:ascii="Times New Roman" w:hAnsi="Times New Roman"/>
          <w:lang w:val="en-GB"/>
        </w:rPr>
        <w:t xml:space="preserve">, 45, 2008, 1611–1643, 1639. </w:t>
      </w:r>
    </w:p>
  </w:footnote>
  <w:footnote w:id="167">
    <w:p w:rsidR="005E6612" w:rsidRDefault="005E6612" w:rsidP="00B27D8E">
      <w:pPr>
        <w:pStyle w:val="Testonotaapidipagina"/>
        <w:jc w:val="both"/>
      </w:pPr>
      <w:r w:rsidRPr="00DF4321">
        <w:rPr>
          <w:rStyle w:val="Rimandonotaapidipagina"/>
          <w:rFonts w:ascii="Times New Roman" w:hAnsi="Times New Roman"/>
          <w:lang w:val="en-GB"/>
        </w:rPr>
        <w:footnoteRef/>
      </w:r>
      <w:r w:rsidRPr="00DF4321">
        <w:rPr>
          <w:rFonts w:ascii="Times New Roman" w:hAnsi="Times New Roman"/>
          <w:lang w:val="en-GB"/>
        </w:rPr>
        <w:t xml:space="preserve"> </w:t>
      </w:r>
      <w:r w:rsidRPr="00DF4321">
        <w:rPr>
          <w:rFonts w:ascii="Times New Roman" w:hAnsi="Times New Roman"/>
          <w:bCs/>
          <w:lang w:val="en-GB"/>
        </w:rPr>
        <w:t xml:space="preserve">G. Martinico, </w:t>
      </w:r>
      <w:r>
        <w:rPr>
          <w:rFonts w:ascii="Times New Roman" w:hAnsi="Times New Roman"/>
          <w:bCs/>
          <w:lang w:val="en-GB"/>
        </w:rPr>
        <w:t>‘</w:t>
      </w:r>
      <w:r w:rsidRPr="00DF4321">
        <w:rPr>
          <w:rFonts w:ascii="Times New Roman" w:hAnsi="Times New Roman"/>
          <w:bCs/>
          <w:lang w:val="en-GB"/>
        </w:rPr>
        <w:t>Reading the Others: American Legal Scholars and the Unfolding European Integration</w:t>
      </w:r>
      <w:r>
        <w:rPr>
          <w:rFonts w:ascii="Times New Roman" w:hAnsi="Times New Roman"/>
          <w:bCs/>
          <w:lang w:val="en-GB"/>
        </w:rPr>
        <w:t>’</w:t>
      </w:r>
      <w:r w:rsidRPr="00DF4321">
        <w:rPr>
          <w:rFonts w:ascii="Times New Roman" w:hAnsi="Times New Roman"/>
          <w:bCs/>
          <w:lang w:val="en-GB"/>
        </w:rPr>
        <w:t xml:space="preserve">, </w:t>
      </w:r>
      <w:r w:rsidRPr="00DF4321">
        <w:rPr>
          <w:rFonts w:ascii="Times New Roman" w:hAnsi="Times New Roman"/>
          <w:bCs/>
          <w:i/>
          <w:iCs/>
          <w:lang w:val="en-GB"/>
        </w:rPr>
        <w:t>European Journal of Law Reform</w:t>
      </w:r>
      <w:r w:rsidRPr="00DF4321">
        <w:rPr>
          <w:rFonts w:ascii="Times New Roman" w:hAnsi="Times New Roman"/>
          <w:bCs/>
          <w:iCs/>
          <w:lang w:val="en-GB"/>
        </w:rPr>
        <w:t>, 11/1, 2009, pp 35</w:t>
      </w:r>
      <w:r w:rsidRPr="00DF4321">
        <w:rPr>
          <w:rFonts w:ascii="Times New Roman" w:hAnsi="Times New Roman"/>
          <w:lang w:val="en-GB"/>
        </w:rPr>
        <w:t>–</w:t>
      </w:r>
      <w:r w:rsidRPr="00DF4321">
        <w:rPr>
          <w:rFonts w:ascii="Times New Roman" w:hAnsi="Times New Roman"/>
          <w:bCs/>
          <w:iCs/>
          <w:lang w:val="en-GB"/>
        </w:rPr>
        <w:t>49</w:t>
      </w:r>
      <w:r w:rsidRPr="00DF4321">
        <w:rPr>
          <w:rFonts w:ascii="Times New Roman" w:hAnsi="Times New Roman"/>
          <w:bCs/>
          <w:lang w:val="en-GB"/>
        </w:rPr>
        <w:t xml:space="preserve">, 37; G. Davies, </w:t>
      </w:r>
      <w:r>
        <w:rPr>
          <w:rFonts w:ascii="Times New Roman" w:hAnsi="Times New Roman"/>
          <w:bCs/>
          <w:lang w:val="en-GB"/>
        </w:rPr>
        <w:t>‘</w:t>
      </w:r>
      <w:r w:rsidRPr="00DF4321">
        <w:rPr>
          <w:rFonts w:ascii="Times New Roman" w:hAnsi="Times New Roman"/>
          <w:bCs/>
          <w:lang w:val="en-GB"/>
        </w:rPr>
        <w:t>Abstractness and Concreteness in the Preliminary Reference Procedure</w:t>
      </w:r>
      <w:r>
        <w:rPr>
          <w:rFonts w:ascii="Times New Roman" w:hAnsi="Times New Roman"/>
          <w:bCs/>
          <w:lang w:val="en-GB"/>
        </w:rPr>
        <w:t>’</w:t>
      </w:r>
      <w:r w:rsidRPr="00DF4321">
        <w:rPr>
          <w:rFonts w:ascii="Times New Roman" w:hAnsi="Times New Roman"/>
          <w:bCs/>
          <w:lang w:val="en-GB"/>
        </w:rPr>
        <w:t xml:space="preserve">, in N. Nic Shuibhne (ed.), </w:t>
      </w:r>
      <w:r w:rsidRPr="00DF4321">
        <w:rPr>
          <w:rFonts w:ascii="Times New Roman" w:hAnsi="Times New Roman"/>
          <w:bCs/>
          <w:i/>
          <w:lang w:val="en-GB"/>
        </w:rPr>
        <w:t>Regulating the Internal Market</w:t>
      </w:r>
      <w:r w:rsidRPr="00DF4321">
        <w:rPr>
          <w:rFonts w:ascii="Times New Roman" w:hAnsi="Times New Roman"/>
          <w:bCs/>
          <w:lang w:val="en-GB"/>
        </w:rPr>
        <w:t xml:space="preserve">, </w:t>
      </w:r>
      <w:r w:rsidRPr="00DF4321">
        <w:rPr>
          <w:rFonts w:ascii="Times New Roman" w:hAnsi="Times New Roman"/>
          <w:lang w:val="en-GB"/>
        </w:rPr>
        <w:t xml:space="preserve">Cheltenham, </w:t>
      </w:r>
      <w:r w:rsidRPr="00DF4321">
        <w:rPr>
          <w:rFonts w:ascii="Times New Roman" w:hAnsi="Times New Roman"/>
          <w:bCs/>
          <w:lang w:val="en-GB"/>
        </w:rPr>
        <w:t>Elgar, 2006, 210</w:t>
      </w:r>
      <w:r w:rsidRPr="00DF4321">
        <w:rPr>
          <w:rFonts w:ascii="Times New Roman" w:hAnsi="Times New Roman"/>
          <w:lang w:val="en-GB"/>
        </w:rPr>
        <w:t>–</w:t>
      </w:r>
      <w:r w:rsidRPr="00DF4321">
        <w:rPr>
          <w:rFonts w:ascii="Times New Roman" w:hAnsi="Times New Roman"/>
          <w:bCs/>
          <w:lang w:val="en-GB"/>
        </w:rPr>
        <w:t>244, 213.</w:t>
      </w:r>
    </w:p>
  </w:footnote>
  <w:footnote w:id="168">
    <w:p w:rsidR="005E6612" w:rsidRDefault="005E6612" w:rsidP="00B27D8E">
      <w:pPr>
        <w:pStyle w:val="Testonotaapidipagina"/>
        <w:jc w:val="both"/>
      </w:pPr>
      <w:r w:rsidRPr="00DF4321">
        <w:rPr>
          <w:rStyle w:val="Rimandonotaapidipagina"/>
          <w:rFonts w:ascii="Times New Roman" w:hAnsi="Times New Roman"/>
          <w:lang w:val="en-GB"/>
        </w:rPr>
        <w:footnoteRef/>
      </w:r>
      <w:r w:rsidRPr="00DF4321">
        <w:rPr>
          <w:rFonts w:ascii="Times New Roman" w:hAnsi="Times New Roman"/>
          <w:lang w:val="en-GB"/>
        </w:rPr>
        <w:t xml:space="preserve"> </w:t>
      </w:r>
      <w:r w:rsidRPr="00DF4321">
        <w:rPr>
          <w:rFonts w:ascii="Times New Roman" w:hAnsi="Times New Roman"/>
          <w:i/>
          <w:lang w:val="en-GB"/>
        </w:rPr>
        <w:t>Kadi</w:t>
      </w:r>
      <w:r w:rsidRPr="00DF4321">
        <w:rPr>
          <w:rFonts w:ascii="Times New Roman" w:hAnsi="Times New Roman"/>
          <w:lang w:val="en-GB"/>
        </w:rPr>
        <w:t xml:space="preserve"> [2008]</w:t>
      </w:r>
      <w:r w:rsidRPr="00DF4321">
        <w:rPr>
          <w:rFonts w:ascii="Times New Roman" w:hAnsi="Times New Roman"/>
          <w:bCs/>
          <w:lang w:val="en-GB"/>
        </w:rPr>
        <w:t xml:space="preserve">. </w:t>
      </w:r>
      <w:r>
        <w:rPr>
          <w:rFonts w:ascii="Times New Roman" w:hAnsi="Times New Roman"/>
          <w:bCs/>
          <w:lang w:val="en-GB"/>
        </w:rPr>
        <w:t xml:space="preserve">The length </w:t>
      </w:r>
      <w:r w:rsidRPr="00DF4321">
        <w:rPr>
          <w:rFonts w:ascii="Times New Roman" w:hAnsi="Times New Roman"/>
          <w:bCs/>
          <w:lang w:val="en-GB"/>
        </w:rPr>
        <w:t xml:space="preserve">is due to the </w:t>
      </w:r>
      <w:r>
        <w:rPr>
          <w:rFonts w:ascii="Times New Roman" w:hAnsi="Times New Roman"/>
          <w:bCs/>
          <w:lang w:val="en-GB"/>
        </w:rPr>
        <w:t xml:space="preserve">nature of the proceeding (appeal against a judgment of the GC) and to the </w:t>
      </w:r>
      <w:r w:rsidRPr="00DF4321">
        <w:rPr>
          <w:rFonts w:ascii="Times New Roman" w:hAnsi="Times New Roman"/>
          <w:bCs/>
          <w:lang w:val="en-GB"/>
        </w:rPr>
        <w:t>importance of the case</w:t>
      </w:r>
      <w:r>
        <w:rPr>
          <w:rFonts w:ascii="Times New Roman" w:hAnsi="Times New Roman"/>
          <w:bCs/>
          <w:lang w:val="en-GB"/>
        </w:rPr>
        <w:t xml:space="preserve"> (the ‘</w:t>
      </w:r>
      <w:r w:rsidRPr="00C13CDF">
        <w:rPr>
          <w:rFonts w:ascii="Times New Roman" w:hAnsi="Times New Roman"/>
          <w:bCs/>
          <w:lang w:val="en-GB"/>
        </w:rPr>
        <w:t>findings of the Court</w:t>
      </w:r>
      <w:r>
        <w:rPr>
          <w:rFonts w:ascii="Times New Roman" w:hAnsi="Times New Roman"/>
          <w:bCs/>
          <w:lang w:val="en-GB"/>
        </w:rPr>
        <w:t>’</w:t>
      </w:r>
      <w:r w:rsidRPr="00C13CDF">
        <w:rPr>
          <w:rFonts w:ascii="Times New Roman" w:hAnsi="Times New Roman"/>
          <w:bCs/>
          <w:lang w:val="en-GB"/>
        </w:rPr>
        <w:t xml:space="preserve"> cover para. 158 to para. 376)</w:t>
      </w:r>
      <w:r w:rsidRPr="00DF4321">
        <w:rPr>
          <w:rFonts w:ascii="Times New Roman" w:hAnsi="Times New Roman"/>
          <w:bCs/>
          <w:lang w:val="en-GB"/>
        </w:rPr>
        <w:t xml:space="preserve">, but is not at all unprecedented: see the 632 paragraphs of Joined Cases C-40/73 et al., </w:t>
      </w:r>
      <w:r w:rsidRPr="00DF4321">
        <w:rPr>
          <w:rFonts w:ascii="Times New Roman" w:hAnsi="Times New Roman"/>
          <w:bCs/>
          <w:i/>
          <w:lang w:val="en-GB"/>
        </w:rPr>
        <w:t xml:space="preserve">Suiker Unie </w:t>
      </w:r>
      <w:r w:rsidRPr="00DF4321">
        <w:rPr>
          <w:rFonts w:ascii="Times New Roman" w:hAnsi="Times New Roman"/>
          <w:bCs/>
          <w:lang w:val="en-GB"/>
        </w:rPr>
        <w:t>v</w:t>
      </w:r>
      <w:r w:rsidRPr="00DF4321">
        <w:rPr>
          <w:rFonts w:ascii="Times New Roman" w:hAnsi="Times New Roman"/>
          <w:bCs/>
          <w:i/>
          <w:lang w:val="en-GB"/>
        </w:rPr>
        <w:t xml:space="preserve"> Commission</w:t>
      </w:r>
      <w:r w:rsidRPr="00DF4321">
        <w:rPr>
          <w:rFonts w:ascii="Times New Roman" w:hAnsi="Times New Roman"/>
          <w:bCs/>
          <w:lang w:val="en-GB"/>
        </w:rPr>
        <w:t xml:space="preserve"> [1975] ECR 1663 (partial annulment of a Commission decision concerning concerted practices in the sugar market).</w:t>
      </w:r>
    </w:p>
  </w:footnote>
  <w:footnote w:id="169">
    <w:p w:rsidR="005E6612" w:rsidRDefault="005E6612" w:rsidP="00B27D8E">
      <w:pPr>
        <w:pStyle w:val="Testonotaapidipagina"/>
        <w:jc w:val="both"/>
      </w:pPr>
      <w:r w:rsidRPr="00DF4321">
        <w:rPr>
          <w:rStyle w:val="Rimandonotaapidipagina"/>
          <w:rFonts w:ascii="Times New Roman" w:hAnsi="Times New Roman"/>
          <w:lang w:val="en-GB"/>
        </w:rPr>
        <w:footnoteRef/>
      </w:r>
      <w:r w:rsidRPr="00DF4321">
        <w:rPr>
          <w:rFonts w:ascii="Times New Roman" w:hAnsi="Times New Roman"/>
          <w:lang w:val="en-GB"/>
        </w:rPr>
        <w:t xml:space="preserve"> On the consequences of multilingualism in EU law, see J. Bengoetxea, </w:t>
      </w:r>
      <w:r>
        <w:rPr>
          <w:rFonts w:ascii="Times New Roman" w:hAnsi="Times New Roman"/>
          <w:lang w:val="en-GB"/>
        </w:rPr>
        <w:t>‘</w:t>
      </w:r>
      <w:r w:rsidRPr="00DF4321">
        <w:rPr>
          <w:rFonts w:ascii="Times New Roman" w:hAnsi="Times New Roman"/>
          <w:lang w:val="en-GB"/>
        </w:rPr>
        <w:t>Multilingual and Multicultural Legal Reasoning</w:t>
      </w:r>
      <w:r>
        <w:rPr>
          <w:rFonts w:ascii="Times New Roman" w:hAnsi="Times New Roman"/>
          <w:lang w:val="en-GB"/>
        </w:rPr>
        <w:t>’</w:t>
      </w:r>
      <w:r w:rsidRPr="00DF4321">
        <w:rPr>
          <w:rFonts w:ascii="Times New Roman" w:hAnsi="Times New Roman"/>
          <w:lang w:val="en-GB"/>
        </w:rPr>
        <w:t xml:space="preserve">, in A.L. Kjær, S. Adamo (eds.), </w:t>
      </w:r>
      <w:r w:rsidRPr="00DF4321">
        <w:rPr>
          <w:rFonts w:ascii="Times New Roman" w:hAnsi="Times New Roman"/>
          <w:i/>
          <w:lang w:val="en-GB"/>
        </w:rPr>
        <w:t>Linguistic Diversity and European Union</w:t>
      </w:r>
      <w:r w:rsidRPr="00DF4321">
        <w:rPr>
          <w:rFonts w:ascii="Times New Roman" w:hAnsi="Times New Roman"/>
          <w:lang w:val="en-GB"/>
        </w:rPr>
        <w:t>, Farnham, Ashgate, 2011, pp. 97-122 (maintaining that so far the preference for French has hindered the development of a genuinely multilingual form of legal reasoning).</w:t>
      </w:r>
    </w:p>
  </w:footnote>
  <w:footnote w:id="170">
    <w:p w:rsidR="005E6612" w:rsidRDefault="005E6612" w:rsidP="00B27D8E">
      <w:pPr>
        <w:pStyle w:val="Testonotaapidipagina"/>
        <w:jc w:val="both"/>
      </w:pPr>
      <w:r w:rsidRPr="00DF4321">
        <w:rPr>
          <w:rStyle w:val="Rimandonotaapidipagina"/>
          <w:rFonts w:ascii="Times New Roman" w:hAnsi="Times New Roman"/>
          <w:lang w:val="en-GB"/>
        </w:rPr>
        <w:footnoteRef/>
      </w:r>
      <w:r w:rsidRPr="00C13CDF">
        <w:rPr>
          <w:rFonts w:ascii="Times New Roman" w:hAnsi="Times New Roman"/>
        </w:rPr>
        <w:t xml:space="preserve"> Pescatore, </w:t>
      </w:r>
      <w:r w:rsidRPr="00C13CDF">
        <w:rPr>
          <w:rFonts w:ascii="Times New Roman" w:hAnsi="Times New Roman"/>
          <w:i/>
        </w:rPr>
        <w:t>Vade-mecum</w:t>
      </w:r>
      <w:r w:rsidRPr="00C13CDF">
        <w:rPr>
          <w:rFonts w:ascii="Times New Roman" w:hAnsi="Times New Roman"/>
        </w:rPr>
        <w:t>, cit., p. 46</w:t>
      </w:r>
    </w:p>
  </w:footnote>
  <w:footnote w:id="171">
    <w:p w:rsidR="005E6612" w:rsidRDefault="005E6612" w:rsidP="00B27D8E">
      <w:pPr>
        <w:pStyle w:val="Testonotaapidipagina"/>
        <w:jc w:val="both"/>
      </w:pPr>
      <w:r w:rsidRPr="00DF4321">
        <w:rPr>
          <w:rStyle w:val="Rimandonotaapidipagina"/>
          <w:rFonts w:ascii="Times New Roman" w:hAnsi="Times New Roman"/>
          <w:lang w:val="en-GB"/>
        </w:rPr>
        <w:footnoteRef/>
      </w:r>
      <w:r w:rsidRPr="00DF4321">
        <w:rPr>
          <w:rFonts w:ascii="Times New Roman" w:hAnsi="Times New Roman"/>
          <w:lang w:val="en-GB"/>
        </w:rPr>
        <w:t xml:space="preserve"> </w:t>
      </w:r>
      <w:r>
        <w:rPr>
          <w:rFonts w:ascii="Times New Roman" w:hAnsi="Times New Roman"/>
          <w:lang w:val="en-GB"/>
        </w:rPr>
        <w:t xml:space="preserve">Possibly the only </w:t>
      </w:r>
      <w:r w:rsidRPr="00DF4321">
        <w:rPr>
          <w:rFonts w:ascii="Times New Roman" w:hAnsi="Times New Roman"/>
          <w:lang w:val="en-GB"/>
        </w:rPr>
        <w:t xml:space="preserve">exception to the rule of impersonality </w:t>
      </w:r>
      <w:r>
        <w:rPr>
          <w:rFonts w:ascii="Times New Roman" w:hAnsi="Times New Roman"/>
          <w:lang w:val="en-GB"/>
        </w:rPr>
        <w:t>was d</w:t>
      </w:r>
      <w:r w:rsidRPr="00DF4321">
        <w:rPr>
          <w:rFonts w:ascii="Times New Roman" w:hAnsi="Times New Roman"/>
          <w:lang w:val="en-GB"/>
        </w:rPr>
        <w:t>ue to a translation inaccuracy: in Joined Cases C</w:t>
      </w:r>
      <w:r w:rsidRPr="00DF4321">
        <w:rPr>
          <w:rFonts w:ascii="Times New Roman" w:hAnsi="Times New Roman"/>
          <w:lang w:val="en-GB"/>
        </w:rPr>
        <w:noBreakHyphen/>
        <w:t>202/08 P and C</w:t>
      </w:r>
      <w:r w:rsidRPr="00DF4321">
        <w:rPr>
          <w:rFonts w:ascii="Times New Roman" w:hAnsi="Times New Roman"/>
          <w:lang w:val="en-GB"/>
        </w:rPr>
        <w:noBreakHyphen/>
        <w:t xml:space="preserve">208/08 P, </w:t>
      </w:r>
      <w:r w:rsidRPr="00DF4321">
        <w:rPr>
          <w:rFonts w:ascii="Times New Roman" w:hAnsi="Times New Roman"/>
          <w:bCs/>
          <w:i/>
          <w:lang w:val="en-GB"/>
        </w:rPr>
        <w:t>American Clothing Associates NV</w:t>
      </w:r>
      <w:r w:rsidRPr="00DF4321">
        <w:rPr>
          <w:rFonts w:ascii="Times New Roman" w:hAnsi="Times New Roman"/>
          <w:bCs/>
          <w:lang w:val="en-GB"/>
        </w:rPr>
        <w:t xml:space="preserve"> [</w:t>
      </w:r>
      <w:r w:rsidRPr="00DF4321">
        <w:rPr>
          <w:rFonts w:ascii="Times New Roman" w:hAnsi="Times New Roman"/>
          <w:lang w:val="en-GB"/>
        </w:rPr>
        <w:t xml:space="preserve">2009], </w:t>
      </w:r>
      <w:r>
        <w:rPr>
          <w:rFonts w:ascii="Times New Roman" w:hAnsi="Times New Roman"/>
          <w:lang w:val="en-GB"/>
        </w:rPr>
        <w:t xml:space="preserve">ECR </w:t>
      </w:r>
      <w:r w:rsidRPr="00C13CDF">
        <w:rPr>
          <w:rFonts w:ascii="Times New Roman" w:hAnsi="Times New Roman"/>
          <w:lang w:val="en-GB"/>
        </w:rPr>
        <w:t xml:space="preserve">I-6933, </w:t>
      </w:r>
      <w:r>
        <w:rPr>
          <w:rFonts w:ascii="Times New Roman" w:hAnsi="Times New Roman"/>
          <w:lang w:val="en-GB"/>
        </w:rPr>
        <w:t>para.</w:t>
      </w:r>
      <w:r w:rsidRPr="00DF4321">
        <w:rPr>
          <w:rFonts w:ascii="Times New Roman" w:hAnsi="Times New Roman"/>
          <w:lang w:val="en-GB"/>
        </w:rPr>
        <w:t xml:space="preserve"> 47, the impersonal French phrase </w:t>
      </w:r>
      <w:r>
        <w:rPr>
          <w:rFonts w:ascii="Times New Roman" w:hAnsi="Times New Roman"/>
          <w:lang w:val="en-GB"/>
        </w:rPr>
        <w:t>‘</w:t>
      </w:r>
      <w:r w:rsidRPr="00DF4321">
        <w:rPr>
          <w:rFonts w:ascii="Times New Roman" w:hAnsi="Times New Roman"/>
          <w:lang w:val="en-GB"/>
        </w:rPr>
        <w:t>il convient tout d’abord de relever que</w:t>
      </w:r>
      <w:r>
        <w:rPr>
          <w:rFonts w:ascii="Times New Roman" w:hAnsi="Times New Roman"/>
          <w:lang w:val="en-GB"/>
        </w:rPr>
        <w:t>’</w:t>
      </w:r>
      <w:r w:rsidRPr="00DF4321">
        <w:rPr>
          <w:rFonts w:ascii="Times New Roman" w:hAnsi="Times New Roman"/>
          <w:lang w:val="en-GB"/>
        </w:rPr>
        <w:t xml:space="preserve"> bec</w:t>
      </w:r>
      <w:r>
        <w:rPr>
          <w:rFonts w:ascii="Times New Roman" w:hAnsi="Times New Roman"/>
          <w:lang w:val="en-GB"/>
        </w:rPr>
        <w:t>a</w:t>
      </w:r>
      <w:r w:rsidRPr="00DF4321">
        <w:rPr>
          <w:rFonts w:ascii="Times New Roman" w:hAnsi="Times New Roman"/>
          <w:lang w:val="en-GB"/>
        </w:rPr>
        <w:t xml:space="preserve">me a highly unusual </w:t>
      </w:r>
      <w:r>
        <w:rPr>
          <w:rFonts w:ascii="Times New Roman" w:hAnsi="Times New Roman"/>
          <w:lang w:val="en-GB"/>
        </w:rPr>
        <w:t>‘</w:t>
      </w:r>
      <w:r w:rsidRPr="00DF4321">
        <w:rPr>
          <w:rFonts w:ascii="Times New Roman" w:hAnsi="Times New Roman"/>
          <w:lang w:val="en-GB"/>
        </w:rPr>
        <w:t>let me start by observing that</w:t>
      </w:r>
      <w:r>
        <w:rPr>
          <w:rFonts w:ascii="Times New Roman" w:hAnsi="Times New Roman"/>
          <w:lang w:val="en-GB"/>
        </w:rPr>
        <w:t>’</w:t>
      </w:r>
      <w:r w:rsidRPr="00DF4321">
        <w:rPr>
          <w:rFonts w:ascii="Times New Roman" w:hAnsi="Times New Roman"/>
          <w:lang w:val="en-GB"/>
        </w:rPr>
        <w:t>.</w:t>
      </w:r>
    </w:p>
  </w:footnote>
  <w:footnote w:id="172">
    <w:p w:rsidR="005E6612" w:rsidRDefault="005E6612" w:rsidP="00B27D8E">
      <w:pPr>
        <w:pStyle w:val="Testonotaapidipagina"/>
        <w:jc w:val="both"/>
      </w:pPr>
      <w:r w:rsidRPr="00DF4321">
        <w:rPr>
          <w:rStyle w:val="Rimandonotaapidipagina"/>
          <w:rFonts w:ascii="Times New Roman" w:hAnsi="Times New Roman"/>
          <w:lang w:val="en-GB"/>
        </w:rPr>
        <w:footnoteRef/>
      </w:r>
      <w:r w:rsidRPr="00DF4321">
        <w:rPr>
          <w:rFonts w:ascii="Times New Roman" w:hAnsi="Times New Roman"/>
          <w:lang w:val="en-GB"/>
        </w:rPr>
        <w:t xml:space="preserve"> M. Horspool, </w:t>
      </w:r>
      <w:r>
        <w:rPr>
          <w:rFonts w:ascii="Times New Roman" w:hAnsi="Times New Roman"/>
          <w:lang w:val="en-GB"/>
        </w:rPr>
        <w:t>‘</w:t>
      </w:r>
      <w:r w:rsidRPr="00DF4321">
        <w:rPr>
          <w:rFonts w:ascii="Times New Roman" w:hAnsi="Times New Roman"/>
          <w:lang w:val="en-GB"/>
        </w:rPr>
        <w:t>Over the Rainbow: Languages and Law in the European Union</w:t>
      </w:r>
      <w:r>
        <w:rPr>
          <w:rFonts w:ascii="Times New Roman" w:hAnsi="Times New Roman"/>
          <w:lang w:val="en-GB"/>
        </w:rPr>
        <w:t>’</w:t>
      </w:r>
      <w:r w:rsidRPr="00DF4321">
        <w:rPr>
          <w:rFonts w:ascii="Times New Roman" w:hAnsi="Times New Roman"/>
          <w:lang w:val="en-GB"/>
        </w:rPr>
        <w:t>, in Arnull et al. (eds.), </w:t>
      </w:r>
      <w:r w:rsidRPr="00DF4321">
        <w:rPr>
          <w:rFonts w:ascii="Times New Roman" w:hAnsi="Times New Roman"/>
          <w:i/>
          <w:lang w:val="en-GB"/>
        </w:rPr>
        <w:t>A Constitutional Order of States</w:t>
      </w:r>
      <w:r w:rsidRPr="00DF4321">
        <w:rPr>
          <w:rFonts w:ascii="Times New Roman" w:hAnsi="Times New Roman"/>
          <w:lang w:val="en-GB"/>
        </w:rPr>
        <w:t>, cit., 99–120, 113 (</w:t>
      </w:r>
      <w:r>
        <w:rPr>
          <w:rFonts w:ascii="Times New Roman" w:hAnsi="Times New Roman"/>
          <w:lang w:val="en-GB"/>
        </w:rPr>
        <w:t>arguing that the</w:t>
      </w:r>
      <w:r w:rsidRPr="00DF4321">
        <w:rPr>
          <w:rFonts w:ascii="Times New Roman" w:hAnsi="Times New Roman"/>
          <w:lang w:val="en-GB"/>
        </w:rPr>
        <w:t xml:space="preserve"> </w:t>
      </w:r>
      <w:r w:rsidRPr="003D634E">
        <w:rPr>
          <w:rFonts w:ascii="Times New Roman" w:hAnsi="Times New Roman"/>
          <w:lang w:val="en-GB"/>
        </w:rPr>
        <w:t>Court of Justice</w:t>
      </w:r>
      <w:r w:rsidRPr="00DF4321">
        <w:rPr>
          <w:rFonts w:ascii="Times New Roman" w:hAnsi="Times New Roman"/>
          <w:lang w:val="en-GB"/>
        </w:rPr>
        <w:t xml:space="preserve"> borrows from different legal methods, </w:t>
      </w:r>
      <w:r>
        <w:rPr>
          <w:rFonts w:ascii="Times New Roman" w:hAnsi="Times New Roman"/>
          <w:lang w:val="en-GB"/>
        </w:rPr>
        <w:t>‘</w:t>
      </w:r>
      <w:r w:rsidRPr="00DF4321">
        <w:rPr>
          <w:rFonts w:ascii="Times New Roman" w:hAnsi="Times New Roman"/>
          <w:lang w:val="en-GB"/>
        </w:rPr>
        <w:t>but mostly prefers its own approach</w:t>
      </w:r>
      <w:r>
        <w:rPr>
          <w:rFonts w:ascii="Times New Roman" w:hAnsi="Times New Roman"/>
          <w:lang w:val="en-GB"/>
        </w:rPr>
        <w:t>’</w:t>
      </w:r>
      <w:r w:rsidRPr="00DF4321">
        <w:rPr>
          <w:rFonts w:ascii="Times New Roman" w:hAnsi="Times New Roman"/>
          <w:lang w:val="en-GB"/>
        </w:rPr>
        <w:t xml:space="preserve">, based on balancing and weighting the principles/interests of the Member States and the Union). </w:t>
      </w:r>
    </w:p>
  </w:footnote>
  <w:footnote w:id="173">
    <w:p w:rsidR="005E6612" w:rsidRDefault="005E6612" w:rsidP="00B27D8E">
      <w:pPr>
        <w:pStyle w:val="Testonotaapidipagina"/>
        <w:jc w:val="both"/>
      </w:pPr>
      <w:r w:rsidRPr="00DF4321">
        <w:rPr>
          <w:rStyle w:val="Rimandonotaapidipagina"/>
          <w:rFonts w:ascii="Times New Roman" w:hAnsi="Times New Roman"/>
          <w:lang w:val="en-GB"/>
        </w:rPr>
        <w:footnoteRef/>
      </w:r>
      <w:r w:rsidRPr="00C13CDF">
        <w:rPr>
          <w:rFonts w:ascii="Times New Roman" w:hAnsi="Times New Roman"/>
        </w:rPr>
        <w:t xml:space="preserve"> Pescatore, </w:t>
      </w:r>
      <w:r w:rsidRPr="00C13CDF">
        <w:rPr>
          <w:rFonts w:ascii="Times New Roman" w:hAnsi="Times New Roman"/>
          <w:i/>
        </w:rPr>
        <w:t>Vade-mecum</w:t>
      </w:r>
      <w:r w:rsidRPr="00C13CDF">
        <w:rPr>
          <w:rFonts w:ascii="Times New Roman" w:hAnsi="Times New Roman"/>
        </w:rPr>
        <w:t>, cit., p. 28.</w:t>
      </w:r>
    </w:p>
  </w:footnote>
  <w:footnote w:id="174">
    <w:p w:rsidR="005E6612" w:rsidRDefault="005E6612" w:rsidP="00B27D8E">
      <w:pPr>
        <w:spacing w:after="0" w:line="240" w:lineRule="auto"/>
        <w:jc w:val="both"/>
      </w:pPr>
      <w:r w:rsidRPr="00DF4321">
        <w:rPr>
          <w:rStyle w:val="Rimandonotaapidipagina"/>
          <w:rFonts w:ascii="Times New Roman" w:hAnsi="Times New Roman"/>
          <w:sz w:val="20"/>
          <w:szCs w:val="20"/>
          <w:lang w:val="en-GB"/>
        </w:rPr>
        <w:footnoteRef/>
      </w:r>
      <w:r w:rsidRPr="00DF4321">
        <w:rPr>
          <w:rFonts w:ascii="Times New Roman" w:hAnsi="Times New Roman"/>
          <w:sz w:val="20"/>
          <w:szCs w:val="20"/>
          <w:lang w:val="en-GB"/>
        </w:rPr>
        <w:t xml:space="preserve"> </w:t>
      </w:r>
      <w:r w:rsidRPr="00DF4321">
        <w:rPr>
          <w:rFonts w:ascii="Times New Roman" w:hAnsi="Times New Roman"/>
          <w:sz w:val="20"/>
          <w:szCs w:val="20"/>
          <w:shd w:val="clear" w:color="auto" w:fill="FFFFFF"/>
          <w:lang w:val="en-GB"/>
        </w:rPr>
        <w:t xml:space="preserve">M. Shapiro, </w:t>
      </w:r>
      <w:r>
        <w:rPr>
          <w:rFonts w:ascii="Times New Roman" w:hAnsi="Times New Roman"/>
          <w:sz w:val="20"/>
          <w:szCs w:val="20"/>
          <w:shd w:val="clear" w:color="auto" w:fill="FFFFFF"/>
          <w:lang w:val="en-GB"/>
        </w:rPr>
        <w:t>‘</w:t>
      </w:r>
      <w:r w:rsidRPr="00DF4321">
        <w:rPr>
          <w:rFonts w:ascii="Times New Roman" w:hAnsi="Times New Roman"/>
          <w:sz w:val="20"/>
          <w:szCs w:val="20"/>
          <w:shd w:val="clear" w:color="auto" w:fill="FFFFFF"/>
          <w:lang w:val="en-GB"/>
        </w:rPr>
        <w:t>Toward a Theory of ‘Stare Decisis’</w:t>
      </w:r>
      <w:r>
        <w:rPr>
          <w:rFonts w:ascii="Times New Roman" w:hAnsi="Times New Roman"/>
          <w:sz w:val="20"/>
          <w:szCs w:val="20"/>
          <w:shd w:val="clear" w:color="auto" w:fill="FFFFFF"/>
          <w:lang w:val="en-GB"/>
        </w:rPr>
        <w:t>’</w:t>
      </w:r>
      <w:r w:rsidRPr="00DF4321">
        <w:rPr>
          <w:rFonts w:ascii="Times New Roman" w:hAnsi="Times New Roman"/>
          <w:sz w:val="20"/>
          <w:szCs w:val="20"/>
          <w:shd w:val="clear" w:color="auto" w:fill="FFFFFF"/>
          <w:lang w:val="en-GB"/>
        </w:rPr>
        <w:t xml:space="preserve">, </w:t>
      </w:r>
      <w:r w:rsidRPr="00DF4321">
        <w:rPr>
          <w:rFonts w:ascii="Times New Roman" w:hAnsi="Times New Roman"/>
          <w:i/>
          <w:sz w:val="20"/>
          <w:szCs w:val="20"/>
          <w:shd w:val="clear" w:color="auto" w:fill="FFFFFF"/>
          <w:lang w:val="en-GB"/>
        </w:rPr>
        <w:t>Journal of Legal Studies</w:t>
      </w:r>
      <w:r w:rsidRPr="00DF4321">
        <w:rPr>
          <w:rFonts w:ascii="Times New Roman" w:hAnsi="Times New Roman"/>
          <w:sz w:val="20"/>
          <w:szCs w:val="20"/>
          <w:shd w:val="clear" w:color="auto" w:fill="FFFFFF"/>
          <w:lang w:val="en-GB"/>
        </w:rPr>
        <w:t>, 1/1, 1972, 125</w:t>
      </w:r>
      <w:r w:rsidRPr="00DF4321">
        <w:rPr>
          <w:rFonts w:ascii="Times New Roman" w:hAnsi="Times New Roman"/>
          <w:sz w:val="20"/>
          <w:szCs w:val="20"/>
          <w:lang w:val="en-GB"/>
        </w:rPr>
        <w:t>–</w:t>
      </w:r>
      <w:r w:rsidRPr="00DF4321">
        <w:rPr>
          <w:rFonts w:ascii="Times New Roman" w:hAnsi="Times New Roman"/>
          <w:sz w:val="20"/>
          <w:szCs w:val="20"/>
          <w:shd w:val="clear" w:color="auto" w:fill="FFFFFF"/>
          <w:lang w:val="en-GB"/>
        </w:rPr>
        <w:t>134</w:t>
      </w:r>
      <w:r w:rsidRPr="00DF4321">
        <w:rPr>
          <w:rFonts w:ascii="Times New Roman" w:hAnsi="Times New Roman"/>
          <w:sz w:val="20"/>
          <w:szCs w:val="20"/>
          <w:lang w:val="en-GB"/>
        </w:rPr>
        <w:t xml:space="preserve"> </w:t>
      </w:r>
    </w:p>
  </w:footnote>
  <w:footnote w:id="175">
    <w:p w:rsidR="005E6612" w:rsidRDefault="005E6612" w:rsidP="00B27D8E">
      <w:pPr>
        <w:pStyle w:val="Testonotaapidipagina"/>
        <w:jc w:val="both"/>
      </w:pPr>
      <w:r w:rsidRPr="00DF4321">
        <w:rPr>
          <w:rStyle w:val="Rimandonotaapidipagina"/>
          <w:rFonts w:ascii="Times New Roman" w:hAnsi="Times New Roman"/>
          <w:lang w:val="en-GB"/>
        </w:rPr>
        <w:footnoteRef/>
      </w:r>
      <w:r w:rsidRPr="00DF4321">
        <w:rPr>
          <w:rFonts w:ascii="Times New Roman" w:hAnsi="Times New Roman"/>
          <w:lang w:val="en-GB"/>
        </w:rPr>
        <w:t xml:space="preserve"> L. Azoulai, </w:t>
      </w:r>
      <w:r>
        <w:rPr>
          <w:rFonts w:ascii="Times New Roman" w:hAnsi="Times New Roman"/>
          <w:lang w:val="en-GB"/>
        </w:rPr>
        <w:t>‘</w:t>
      </w:r>
      <w:r w:rsidRPr="00DF4321">
        <w:rPr>
          <w:rFonts w:ascii="Times New Roman" w:hAnsi="Times New Roman"/>
          <w:lang w:val="en-GB"/>
        </w:rPr>
        <w:t>The Court of Justice and the Social Market Economy: The Emergence of an Ideal and the Conditions for its Realization</w:t>
      </w:r>
      <w:r>
        <w:rPr>
          <w:rFonts w:ascii="Times New Roman" w:hAnsi="Times New Roman"/>
          <w:lang w:val="en-GB"/>
        </w:rPr>
        <w:t>’</w:t>
      </w:r>
      <w:r w:rsidRPr="00DF4321">
        <w:rPr>
          <w:rFonts w:ascii="Times New Roman" w:hAnsi="Times New Roman"/>
          <w:lang w:val="en-GB"/>
        </w:rPr>
        <w:t xml:space="preserve">, </w:t>
      </w:r>
      <w:r w:rsidRPr="00DF4321">
        <w:rPr>
          <w:rFonts w:ascii="Times New Roman" w:hAnsi="Times New Roman"/>
          <w:i/>
          <w:lang w:val="en-GB"/>
        </w:rPr>
        <w:t>Common Market Law Review</w:t>
      </w:r>
      <w:r w:rsidRPr="00DF4321">
        <w:rPr>
          <w:rFonts w:ascii="Times New Roman" w:hAnsi="Times New Roman"/>
          <w:lang w:val="en-GB"/>
        </w:rPr>
        <w:t>, 45, 2008, 1335–1356, 1339.</w:t>
      </w:r>
    </w:p>
  </w:footnote>
  <w:footnote w:id="176">
    <w:p w:rsidR="005E6612" w:rsidRDefault="005E6612" w:rsidP="00B27D8E">
      <w:pPr>
        <w:pStyle w:val="Testonotaapidipagina"/>
        <w:jc w:val="both"/>
      </w:pPr>
      <w:r w:rsidRPr="00DF4321">
        <w:rPr>
          <w:rStyle w:val="Rimandonotaapidipagina"/>
          <w:rFonts w:ascii="Times New Roman" w:hAnsi="Times New Roman"/>
          <w:lang w:val="en-GB"/>
        </w:rPr>
        <w:footnoteRef/>
      </w:r>
      <w:r w:rsidRPr="00DF4321">
        <w:rPr>
          <w:rFonts w:ascii="Times New Roman" w:hAnsi="Times New Roman"/>
          <w:lang w:val="en-GB"/>
        </w:rPr>
        <w:t xml:space="preserve"> This is the opinion of the majority of</w:t>
      </w:r>
      <w:r w:rsidRPr="00D73610">
        <w:rPr>
          <w:rFonts w:ascii="Times New Roman" w:hAnsi="Times New Roman"/>
          <w:lang w:val="en-GB"/>
        </w:rPr>
        <w:t xml:space="preserve"> the AGs interviewed by S. Morano-Foadi, S. Andreadakis, </w:t>
      </w:r>
      <w:r>
        <w:rPr>
          <w:rFonts w:ascii="Times New Roman" w:hAnsi="Times New Roman"/>
          <w:lang w:val="en-GB"/>
        </w:rPr>
        <w:t>‘</w:t>
      </w:r>
      <w:r w:rsidRPr="00D73610">
        <w:rPr>
          <w:rFonts w:ascii="Times New Roman" w:hAnsi="Times New Roman"/>
          <w:lang w:val="en-GB"/>
        </w:rPr>
        <w:t>Reflections on the Architecture of the EU after the Treaty of Lisbon: The European Judicial Approach to Fundamental Rights</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lang w:val="en-GB"/>
        </w:rPr>
        <w:t>European Law Journal</w:t>
      </w:r>
      <w:r w:rsidRPr="00D73610">
        <w:rPr>
          <w:rFonts w:ascii="Times New Roman" w:hAnsi="Times New Roman"/>
          <w:lang w:val="en-GB"/>
        </w:rPr>
        <w:t xml:space="preserve">, 17/5, 2011, 595–610, 599: </w:t>
      </w:r>
      <w:r>
        <w:rPr>
          <w:rFonts w:ascii="Times New Roman" w:hAnsi="Times New Roman"/>
          <w:lang w:val="en-GB"/>
        </w:rPr>
        <w:t>‘</w:t>
      </w:r>
      <w:r w:rsidRPr="00D73610">
        <w:rPr>
          <w:rFonts w:ascii="Times New Roman" w:hAnsi="Times New Roman"/>
          <w:lang w:val="en-GB"/>
        </w:rPr>
        <w:t>the language of the common market is being more and more replaced by the new language of the human rights standards</w:t>
      </w:r>
      <w:r>
        <w:rPr>
          <w:rFonts w:ascii="Times New Roman" w:hAnsi="Times New Roman"/>
          <w:lang w:val="en-GB"/>
        </w:rPr>
        <w:t>’</w:t>
      </w:r>
      <w:r w:rsidRPr="00D73610">
        <w:rPr>
          <w:rFonts w:ascii="Times New Roman" w:hAnsi="Times New Roman"/>
          <w:lang w:val="en-GB"/>
        </w:rPr>
        <w:t>.</w:t>
      </w:r>
    </w:p>
  </w:footnote>
  <w:footnote w:id="177">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See, e.g., M. Cartabia, </w:t>
      </w:r>
      <w:r>
        <w:rPr>
          <w:rFonts w:ascii="Times New Roman" w:hAnsi="Times New Roman"/>
          <w:lang w:val="en-GB"/>
        </w:rPr>
        <w:t>‘</w:t>
      </w:r>
      <w:r w:rsidRPr="00D73610">
        <w:rPr>
          <w:rFonts w:ascii="Times New Roman" w:hAnsi="Times New Roman"/>
          <w:iCs/>
          <w:lang w:val="en-GB"/>
        </w:rPr>
        <w:t>Europe and Rights: Taking Dia</w:t>
      </w:r>
      <w:r w:rsidRPr="00D73610">
        <w:rPr>
          <w:rFonts w:ascii="Times New Roman" w:hAnsi="Times New Roman"/>
          <w:iCs/>
          <w:lang w:val="en-GB"/>
        </w:rPr>
        <w:softHyphen/>
        <w:t>logue Seriously</w:t>
      </w:r>
      <w:r>
        <w:rPr>
          <w:rFonts w:ascii="Times New Roman" w:hAnsi="Times New Roman"/>
          <w:iCs/>
          <w:lang w:val="en-GB"/>
        </w:rPr>
        <w:t>’</w:t>
      </w:r>
      <w:r w:rsidRPr="00D73610">
        <w:rPr>
          <w:rFonts w:ascii="Times New Roman" w:hAnsi="Times New Roman"/>
          <w:lang w:val="en-GB"/>
        </w:rPr>
        <w:t xml:space="preserve">, </w:t>
      </w:r>
      <w:r w:rsidRPr="00D73610">
        <w:rPr>
          <w:rFonts w:ascii="Times New Roman" w:hAnsi="Times New Roman"/>
          <w:i/>
          <w:lang w:val="en-GB"/>
        </w:rPr>
        <w:t>European Constitutional Law Review</w:t>
      </w:r>
      <w:r w:rsidRPr="00D73610">
        <w:rPr>
          <w:rFonts w:ascii="Times New Roman" w:hAnsi="Times New Roman"/>
          <w:lang w:val="en-GB"/>
        </w:rPr>
        <w:t xml:space="preserve">, 5, 2009, 5–31, p.31: </w:t>
      </w:r>
      <w:r>
        <w:rPr>
          <w:rFonts w:ascii="Times New Roman" w:hAnsi="Times New Roman"/>
          <w:lang w:val="en-GB"/>
        </w:rPr>
        <w:t>‘</w:t>
      </w:r>
      <w:r w:rsidRPr="00D73610">
        <w:rPr>
          <w:rFonts w:ascii="Times New Roman" w:hAnsi="Times New Roman"/>
          <w:lang w:val="en-GB"/>
        </w:rPr>
        <w:t xml:space="preserve">the European Court, especially when acting as a constitutional court or a court of fundamental rights, should seriously consider moving away from the old-style telegraphic </w:t>
      </w:r>
      <w:r>
        <w:rPr>
          <w:rFonts w:ascii="Times New Roman" w:hAnsi="Times New Roman"/>
          <w:lang w:val="en-GB"/>
        </w:rPr>
        <w:t>judgme</w:t>
      </w:r>
      <w:r w:rsidRPr="00D73610">
        <w:rPr>
          <w:rFonts w:ascii="Times New Roman" w:hAnsi="Times New Roman"/>
          <w:lang w:val="en-GB"/>
        </w:rPr>
        <w:t>nts</w:t>
      </w:r>
      <w:r>
        <w:rPr>
          <w:rFonts w:ascii="Times New Roman" w:hAnsi="Times New Roman"/>
          <w:lang w:val="en-GB"/>
        </w:rPr>
        <w:t>’</w:t>
      </w:r>
      <w:r w:rsidRPr="00D73610">
        <w:rPr>
          <w:rFonts w:ascii="Times New Roman" w:hAnsi="Times New Roman"/>
          <w:lang w:val="en-GB"/>
        </w:rPr>
        <w:t>.</w:t>
      </w:r>
    </w:p>
  </w:footnote>
  <w:footnote w:id="178">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J. Habermas, </w:t>
      </w:r>
      <w:r w:rsidRPr="00D73610">
        <w:rPr>
          <w:rFonts w:ascii="Times New Roman" w:hAnsi="Times New Roman"/>
          <w:bCs/>
          <w:i/>
          <w:lang w:val="en-GB"/>
        </w:rPr>
        <w:t>The Postnational Constellation: Political Essays</w:t>
      </w:r>
      <w:r w:rsidRPr="00D73610">
        <w:rPr>
          <w:rFonts w:ascii="Times New Roman" w:hAnsi="Times New Roman"/>
          <w:bCs/>
          <w:lang w:val="en-GB"/>
        </w:rPr>
        <w:t>, Boston, MIT Press, 2001.</w:t>
      </w:r>
    </w:p>
  </w:footnote>
  <w:footnote w:id="179">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D73610">
        <w:rPr>
          <w:rFonts w:ascii="Times New Roman" w:hAnsi="Times New Roman"/>
          <w:bCs/>
          <w:lang w:val="en-GB"/>
        </w:rPr>
        <w:t xml:space="preserve">Weiler, </w:t>
      </w:r>
      <w:r>
        <w:rPr>
          <w:rFonts w:ascii="Times New Roman" w:hAnsi="Times New Roman"/>
          <w:bCs/>
          <w:lang w:val="en-GB"/>
        </w:rPr>
        <w:t>‘</w:t>
      </w:r>
      <w:r w:rsidRPr="00D73610">
        <w:rPr>
          <w:rFonts w:ascii="Times New Roman" w:hAnsi="Times New Roman"/>
          <w:bCs/>
          <w:lang w:val="en-GB"/>
        </w:rPr>
        <w:t>Epilogue: The Judicial Après Nice</w:t>
      </w:r>
      <w:r>
        <w:rPr>
          <w:rFonts w:ascii="Times New Roman" w:hAnsi="Times New Roman"/>
          <w:bCs/>
          <w:lang w:val="en-GB"/>
        </w:rPr>
        <w:t>’</w:t>
      </w:r>
      <w:r w:rsidRPr="00D73610">
        <w:rPr>
          <w:rFonts w:ascii="Times New Roman" w:hAnsi="Times New Roman"/>
          <w:bCs/>
          <w:lang w:val="en-GB"/>
        </w:rPr>
        <w:t xml:space="preserve">, cit., 219 and 225; recently </w:t>
      </w:r>
      <w:r w:rsidRPr="00D73610">
        <w:rPr>
          <w:rFonts w:ascii="Times New Roman" w:hAnsi="Times New Roman"/>
          <w:color w:val="000000"/>
          <w:lang w:val="en-GB"/>
        </w:rPr>
        <w:t xml:space="preserve">D. Robertson, </w:t>
      </w:r>
      <w:r w:rsidRPr="00D73610">
        <w:rPr>
          <w:rFonts w:ascii="Times New Roman" w:hAnsi="Times New Roman"/>
          <w:bCs/>
          <w:i/>
          <w:color w:val="000000"/>
          <w:lang w:val="en-GB"/>
        </w:rPr>
        <w:t>The Judge as Political Theorist: Contemporary Constitutional Review</w:t>
      </w:r>
      <w:r w:rsidRPr="00D73610">
        <w:rPr>
          <w:rFonts w:ascii="Times New Roman" w:hAnsi="Times New Roman"/>
          <w:bCs/>
          <w:color w:val="000000"/>
          <w:lang w:val="en-GB"/>
        </w:rPr>
        <w:t>, Princeton, PUP, 2010, 345.</w:t>
      </w:r>
    </w:p>
  </w:footnote>
  <w:footnote w:id="180">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E.g. S. Douglass-Scott, </w:t>
      </w:r>
      <w:r>
        <w:rPr>
          <w:rFonts w:ascii="Times New Roman" w:hAnsi="Times New Roman"/>
          <w:lang w:val="en-GB"/>
        </w:rPr>
        <w:t>‘</w:t>
      </w:r>
      <w:r w:rsidRPr="00D73610">
        <w:rPr>
          <w:rFonts w:ascii="Times New Roman" w:hAnsi="Times New Roman"/>
          <w:lang w:val="en-GB"/>
        </w:rPr>
        <w:t xml:space="preserve">A Tale of Two Courts: Luxembourg, Strasbourg and the Growing European Human </w:t>
      </w:r>
      <w:r w:rsidRPr="00D73610">
        <w:rPr>
          <w:rFonts w:ascii="Times New Roman" w:hAnsi="Times New Roman"/>
          <w:iCs/>
          <w:lang w:val="en-GB"/>
        </w:rPr>
        <w:t>Rights</w:t>
      </w:r>
      <w:r w:rsidRPr="00D73610">
        <w:rPr>
          <w:rFonts w:ascii="Times New Roman" w:hAnsi="Times New Roman"/>
          <w:i/>
          <w:iCs/>
          <w:lang w:val="en-GB"/>
        </w:rPr>
        <w:t xml:space="preserve"> </w:t>
      </w:r>
      <w:r w:rsidRPr="00D73610">
        <w:rPr>
          <w:rFonts w:ascii="Times New Roman" w:hAnsi="Times New Roman"/>
          <w:i/>
          <w:lang w:val="en-GB"/>
        </w:rPr>
        <w:t>Acquis</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lang w:val="en-GB"/>
        </w:rPr>
        <w:t>Common Market Law Review</w:t>
      </w:r>
      <w:r>
        <w:rPr>
          <w:rFonts w:ascii="Times New Roman" w:hAnsi="Times New Roman"/>
          <w:lang w:val="en-GB"/>
        </w:rPr>
        <w:t>, 43/3, 2006, 661: t</w:t>
      </w:r>
      <w:r w:rsidRPr="00D73610">
        <w:rPr>
          <w:rFonts w:ascii="Times New Roman" w:hAnsi="Times New Roman"/>
          <w:lang w:val="en-GB"/>
        </w:rPr>
        <w:t xml:space="preserve">he </w:t>
      </w:r>
      <w:r w:rsidRPr="003D634E">
        <w:rPr>
          <w:rFonts w:ascii="Times New Roman" w:hAnsi="Times New Roman"/>
          <w:lang w:val="en-GB"/>
        </w:rPr>
        <w:t>Court of Justice</w:t>
      </w:r>
      <w:r w:rsidRPr="00D73610">
        <w:rPr>
          <w:rFonts w:ascii="Times New Roman" w:hAnsi="Times New Roman"/>
          <w:lang w:val="en-GB"/>
        </w:rPr>
        <w:t xml:space="preserve"> </w:t>
      </w:r>
      <w:r>
        <w:rPr>
          <w:rFonts w:ascii="Times New Roman" w:hAnsi="Times New Roman"/>
          <w:lang w:val="en-GB"/>
        </w:rPr>
        <w:t>‘</w:t>
      </w:r>
      <w:r w:rsidRPr="00D73610">
        <w:rPr>
          <w:rFonts w:ascii="Times New Roman" w:hAnsi="Times New Roman"/>
          <w:lang w:val="en-GB"/>
        </w:rPr>
        <w:t>is therefore finding its feet as a human rights court ... its status as a Constitutional Court is being improved by its developing human rights jurisprudence</w:t>
      </w:r>
      <w:r>
        <w:rPr>
          <w:rFonts w:ascii="Times New Roman" w:hAnsi="Times New Roman"/>
          <w:lang w:val="en-GB"/>
        </w:rPr>
        <w:t>’</w:t>
      </w:r>
      <w:r w:rsidRPr="00D73610">
        <w:rPr>
          <w:rFonts w:ascii="Times New Roman" w:hAnsi="Times New Roman"/>
          <w:lang w:val="en-GB"/>
        </w:rPr>
        <w:t>.</w:t>
      </w:r>
    </w:p>
  </w:footnote>
  <w:footnote w:id="181">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w:t>
      </w:r>
      <w:r w:rsidRPr="003B4522">
        <w:rPr>
          <w:rFonts w:ascii="Times New Roman" w:hAnsi="Times New Roman"/>
          <w:highlight w:val="yellow"/>
          <w:lang w:val="en-GB"/>
        </w:rPr>
        <w:t xml:space="preserve">E.g., </w:t>
      </w:r>
      <w:r w:rsidRPr="003B4522">
        <w:rPr>
          <w:rFonts w:ascii="Times New Roman" w:hAnsi="Times New Roman"/>
          <w:i/>
          <w:highlight w:val="yellow"/>
          <w:lang w:val="en-GB"/>
        </w:rPr>
        <w:t>Schmidberger</w:t>
      </w:r>
      <w:r w:rsidRPr="003B4522">
        <w:rPr>
          <w:rFonts w:ascii="Times New Roman" w:hAnsi="Times New Roman"/>
          <w:highlight w:val="yellow"/>
          <w:lang w:val="en-GB"/>
        </w:rPr>
        <w:t xml:space="preserve"> [</w:t>
      </w:r>
      <w:r w:rsidRPr="003B4522">
        <w:rPr>
          <w:rFonts w:ascii="Times New Roman" w:hAnsi="Times New Roman"/>
          <w:iCs/>
          <w:highlight w:val="yellow"/>
          <w:lang w:val="en-GB"/>
        </w:rPr>
        <w:t>2003</w:t>
      </w:r>
      <w:r w:rsidRPr="003B4522">
        <w:rPr>
          <w:rFonts w:ascii="Times New Roman" w:hAnsi="Times New Roman"/>
          <w:highlight w:val="yellow"/>
          <w:lang w:val="en-GB"/>
        </w:rPr>
        <w:t>]</w:t>
      </w:r>
      <w:r w:rsidRPr="003B4522">
        <w:rPr>
          <w:rFonts w:ascii="Times New Roman" w:hAnsi="Times New Roman"/>
          <w:iCs/>
          <w:highlight w:val="yellow"/>
          <w:lang w:val="en-GB"/>
        </w:rPr>
        <w:t xml:space="preserve"> and </w:t>
      </w:r>
      <w:r w:rsidRPr="003B4522">
        <w:rPr>
          <w:rFonts w:ascii="Times New Roman" w:hAnsi="Times New Roman"/>
          <w:i/>
          <w:highlight w:val="yellow"/>
          <w:lang w:val="en-GB"/>
        </w:rPr>
        <w:t>Omega</w:t>
      </w:r>
      <w:r w:rsidRPr="003B4522">
        <w:rPr>
          <w:rFonts w:ascii="Times New Roman" w:hAnsi="Times New Roman"/>
          <w:highlight w:val="yellow"/>
          <w:lang w:val="en-GB"/>
        </w:rPr>
        <w:t xml:space="preserve"> [2004].</w:t>
      </w:r>
    </w:p>
  </w:footnote>
  <w:footnote w:id="182">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See e.g. J. Coppel, A. O’Neill, </w:t>
      </w:r>
      <w:r>
        <w:rPr>
          <w:rFonts w:ascii="Times New Roman" w:hAnsi="Times New Roman"/>
          <w:lang w:val="en-GB"/>
        </w:rPr>
        <w:t>‘</w:t>
      </w:r>
      <w:r w:rsidRPr="00D73610">
        <w:rPr>
          <w:rFonts w:ascii="Times New Roman" w:hAnsi="Times New Roman"/>
          <w:lang w:val="en-GB"/>
        </w:rPr>
        <w:t>The European Court of Justice: Taking Rights Seriously?</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lang w:val="en-GB"/>
        </w:rPr>
        <w:t>Common Market Law Review</w:t>
      </w:r>
      <w:r w:rsidRPr="00D73610">
        <w:rPr>
          <w:rFonts w:ascii="Times New Roman" w:hAnsi="Times New Roman"/>
          <w:lang w:val="en-GB"/>
        </w:rPr>
        <w:t>, 29/4, 1992, 669–692.</w:t>
      </w:r>
    </w:p>
  </w:footnote>
  <w:footnote w:id="183">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B. de Witte, </w:t>
      </w:r>
      <w:r>
        <w:rPr>
          <w:rFonts w:ascii="Times New Roman" w:hAnsi="Times New Roman"/>
          <w:lang w:val="en-GB"/>
        </w:rPr>
        <w:t>‘</w:t>
      </w:r>
      <w:r w:rsidRPr="00D73610">
        <w:rPr>
          <w:rFonts w:ascii="Times New Roman" w:hAnsi="Times New Roman"/>
          <w:lang w:val="en-GB"/>
        </w:rPr>
        <w:t>The Past and Future Role of the European Court of Justice in the Protection of Human Rights</w:t>
      </w:r>
      <w:r>
        <w:rPr>
          <w:rFonts w:ascii="Times New Roman" w:hAnsi="Times New Roman"/>
          <w:lang w:val="en-GB"/>
        </w:rPr>
        <w:t>’</w:t>
      </w:r>
      <w:r w:rsidRPr="00D73610">
        <w:rPr>
          <w:rFonts w:ascii="Times New Roman" w:hAnsi="Times New Roman"/>
          <w:lang w:val="en-GB"/>
        </w:rPr>
        <w:t>, in P. Alston (ed</w:t>
      </w:r>
      <w:r>
        <w:rPr>
          <w:rFonts w:ascii="Times New Roman" w:hAnsi="Times New Roman"/>
          <w:lang w:val="en-GB"/>
        </w:rPr>
        <w:t>.</w:t>
      </w:r>
      <w:r w:rsidRPr="00D73610">
        <w:rPr>
          <w:rFonts w:ascii="Times New Roman" w:hAnsi="Times New Roman"/>
          <w:lang w:val="en-GB"/>
        </w:rPr>
        <w:t xml:space="preserve">), </w:t>
      </w:r>
      <w:r w:rsidRPr="00D73610">
        <w:rPr>
          <w:rFonts w:ascii="Times New Roman" w:hAnsi="Times New Roman"/>
          <w:i/>
          <w:lang w:val="en-GB"/>
        </w:rPr>
        <w:t>The EU and Human Rights, Oxford</w:t>
      </w:r>
      <w:r w:rsidRPr="00D73610">
        <w:rPr>
          <w:rFonts w:ascii="Times New Roman" w:hAnsi="Times New Roman"/>
          <w:lang w:val="en-GB"/>
        </w:rPr>
        <w:t xml:space="preserve">, OUP, 1999, 859–897, 869. Rightly B.-O. Bryde, </w:t>
      </w:r>
      <w:r>
        <w:rPr>
          <w:rFonts w:ascii="Times New Roman" w:hAnsi="Times New Roman"/>
          <w:lang w:val="en-GB"/>
        </w:rPr>
        <w:t>‘</w:t>
      </w:r>
      <w:r w:rsidRPr="00D73610">
        <w:rPr>
          <w:rFonts w:ascii="Times New Roman" w:hAnsi="Times New Roman"/>
          <w:iCs/>
          <w:lang w:val="en-GB"/>
        </w:rPr>
        <w:t>The ECJ's</w:t>
      </w:r>
      <w:r w:rsidRPr="00D73610">
        <w:rPr>
          <w:rFonts w:ascii="Times New Roman" w:hAnsi="Times New Roman"/>
          <w:lang w:val="en-GB"/>
        </w:rPr>
        <w:t xml:space="preserve"> Fundamental Rights Jurisprudence – A Milestone in Transnational Constitutionalism</w:t>
      </w:r>
      <w:r>
        <w:rPr>
          <w:rFonts w:ascii="Times New Roman" w:hAnsi="Times New Roman"/>
          <w:lang w:val="en-GB"/>
        </w:rPr>
        <w:t>’</w:t>
      </w:r>
      <w:r w:rsidRPr="00D73610">
        <w:rPr>
          <w:rFonts w:ascii="Times New Roman" w:hAnsi="Times New Roman"/>
          <w:lang w:val="en-GB"/>
        </w:rPr>
        <w:t xml:space="preserve">, in Maduro, Azoulai (eds.), </w:t>
      </w:r>
      <w:r w:rsidRPr="00D73610">
        <w:rPr>
          <w:rFonts w:ascii="Times New Roman" w:hAnsi="Times New Roman"/>
          <w:i/>
          <w:lang w:val="en-GB"/>
        </w:rPr>
        <w:t>The Past and Future of EU Law</w:t>
      </w:r>
      <w:r w:rsidRPr="00D73610">
        <w:rPr>
          <w:rFonts w:ascii="Times New Roman" w:hAnsi="Times New Roman"/>
          <w:lang w:val="en-GB"/>
        </w:rPr>
        <w:t>, cit., 119</w:t>
      </w:r>
      <w:r w:rsidRPr="00D73610">
        <w:rPr>
          <w:rFonts w:ascii="Times New Roman" w:hAnsi="Times New Roman"/>
          <w:iCs/>
          <w:lang w:val="en-GB"/>
        </w:rPr>
        <w:t xml:space="preserve">–129, 125, notes that this depends upon the fact that the </w:t>
      </w:r>
      <w:r w:rsidRPr="003D634E">
        <w:rPr>
          <w:rFonts w:ascii="Times New Roman" w:hAnsi="Times New Roman"/>
          <w:iCs/>
          <w:lang w:val="en-GB"/>
        </w:rPr>
        <w:t xml:space="preserve">Court of Justice </w:t>
      </w:r>
      <w:r w:rsidRPr="00D73610">
        <w:rPr>
          <w:rFonts w:ascii="Times New Roman" w:hAnsi="Times New Roman"/>
          <w:iCs/>
          <w:lang w:val="en-GB"/>
        </w:rPr>
        <w:t>is not a specialised constitutional court, but a court of general jurisdiction in European law and that EU law remains limited to mainly socio-economic functions.</w:t>
      </w:r>
    </w:p>
  </w:footnote>
  <w:footnote w:id="184">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See U. Haltern, </w:t>
      </w:r>
      <w:r w:rsidRPr="00D73610">
        <w:rPr>
          <w:rFonts w:ascii="Times New Roman" w:hAnsi="Times New Roman"/>
          <w:i/>
          <w:lang w:val="en-GB"/>
        </w:rPr>
        <w:t>On Finality</w:t>
      </w:r>
      <w:r w:rsidRPr="00D73610">
        <w:rPr>
          <w:rFonts w:ascii="Times New Roman" w:hAnsi="Times New Roman"/>
          <w:lang w:val="en-GB"/>
        </w:rPr>
        <w:t xml:space="preserve">, in Bogdandy, Bast (eds.), </w:t>
      </w:r>
      <w:r w:rsidRPr="00D73610">
        <w:rPr>
          <w:rFonts w:ascii="Times New Roman" w:hAnsi="Times New Roman"/>
          <w:i/>
          <w:lang w:val="en-GB"/>
        </w:rPr>
        <w:t>Principles of European Constitutional Law</w:t>
      </w:r>
      <w:r w:rsidRPr="00D73610">
        <w:rPr>
          <w:rFonts w:ascii="Times New Roman" w:hAnsi="Times New Roman"/>
          <w:lang w:val="en-GB"/>
        </w:rPr>
        <w:t xml:space="preserve">, cit., 222 ff., analyses the case law on European citizenship in order to show how the Court entered </w:t>
      </w:r>
      <w:r>
        <w:rPr>
          <w:rFonts w:ascii="Times New Roman" w:hAnsi="Times New Roman"/>
          <w:lang w:val="en-GB"/>
        </w:rPr>
        <w:t>‘</w:t>
      </w:r>
      <w:r w:rsidRPr="00D73610">
        <w:rPr>
          <w:rFonts w:ascii="Times New Roman" w:hAnsi="Times New Roman"/>
          <w:lang w:val="en-GB"/>
        </w:rPr>
        <w:t xml:space="preserve">into what might be called </w:t>
      </w:r>
      <w:r>
        <w:rPr>
          <w:rFonts w:ascii="Times New Roman" w:hAnsi="Times New Roman"/>
          <w:lang w:val="en-GB"/>
        </w:rPr>
        <w:t>“</w:t>
      </w:r>
      <w:r w:rsidRPr="00D73610">
        <w:rPr>
          <w:rFonts w:ascii="Times New Roman" w:hAnsi="Times New Roman"/>
          <w:lang w:val="en-GB"/>
        </w:rPr>
        <w:t>political rhetoric</w:t>
      </w:r>
      <w:r>
        <w:rPr>
          <w:rFonts w:ascii="Times New Roman" w:hAnsi="Times New Roman"/>
          <w:lang w:val="en-GB"/>
        </w:rPr>
        <w:t>”’</w:t>
      </w:r>
      <w:r w:rsidRPr="00D73610">
        <w:rPr>
          <w:rFonts w:ascii="Times New Roman" w:hAnsi="Times New Roman"/>
          <w:lang w:val="en-GB"/>
        </w:rPr>
        <w:t>.</w:t>
      </w:r>
    </w:p>
  </w:footnote>
  <w:footnote w:id="185">
    <w:p w:rsidR="005E6612" w:rsidRDefault="005E6612" w:rsidP="00B27D8E">
      <w:pPr>
        <w:pStyle w:val="Testonotaapidipagina"/>
        <w:jc w:val="both"/>
      </w:pPr>
      <w:r w:rsidRPr="00D73610">
        <w:rPr>
          <w:rStyle w:val="Rimandonotaapidipagina"/>
          <w:rFonts w:ascii="Times New Roman" w:hAnsi="Times New Roman"/>
          <w:lang w:val="en-GB"/>
        </w:rPr>
        <w:footnoteRef/>
      </w:r>
      <w:r w:rsidRPr="00D73610">
        <w:rPr>
          <w:rFonts w:ascii="Times New Roman" w:hAnsi="Times New Roman"/>
          <w:lang w:val="en-GB"/>
        </w:rPr>
        <w:t xml:space="preserve"> Pescatore, </w:t>
      </w:r>
      <w:r w:rsidRPr="00D73610">
        <w:rPr>
          <w:rFonts w:ascii="Times New Roman" w:hAnsi="Times New Roman"/>
          <w:i/>
          <w:lang w:val="en-GB"/>
        </w:rPr>
        <w:t>Vade-mecum</w:t>
      </w:r>
      <w:r w:rsidRPr="00D73610">
        <w:rPr>
          <w:rFonts w:ascii="Times New Roman" w:hAnsi="Times New Roman"/>
          <w:lang w:val="en-GB"/>
        </w:rPr>
        <w:t>, cit.,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39DE"/>
    <w:multiLevelType w:val="multilevel"/>
    <w:tmpl w:val="54B8A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D4955"/>
    <w:multiLevelType w:val="multilevel"/>
    <w:tmpl w:val="100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7205E"/>
    <w:multiLevelType w:val="hybridMultilevel"/>
    <w:tmpl w:val="D0B4497E"/>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507721C7"/>
    <w:multiLevelType w:val="multilevel"/>
    <w:tmpl w:val="2CBA5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B27D8E"/>
    <w:rsid w:val="0000036F"/>
    <w:rsid w:val="0000057B"/>
    <w:rsid w:val="00003479"/>
    <w:rsid w:val="000054D5"/>
    <w:rsid w:val="00005F4D"/>
    <w:rsid w:val="00007D37"/>
    <w:rsid w:val="00011EFE"/>
    <w:rsid w:val="000120C6"/>
    <w:rsid w:val="000120D9"/>
    <w:rsid w:val="00013B94"/>
    <w:rsid w:val="00017271"/>
    <w:rsid w:val="00022C9D"/>
    <w:rsid w:val="00023448"/>
    <w:rsid w:val="00023FA9"/>
    <w:rsid w:val="00027F7C"/>
    <w:rsid w:val="000300C5"/>
    <w:rsid w:val="00030C0A"/>
    <w:rsid w:val="000310F0"/>
    <w:rsid w:val="000351B2"/>
    <w:rsid w:val="000356B3"/>
    <w:rsid w:val="000371E6"/>
    <w:rsid w:val="00043FB0"/>
    <w:rsid w:val="00052467"/>
    <w:rsid w:val="00060E62"/>
    <w:rsid w:val="000615E7"/>
    <w:rsid w:val="00062423"/>
    <w:rsid w:val="00065343"/>
    <w:rsid w:val="00070FEE"/>
    <w:rsid w:val="00075540"/>
    <w:rsid w:val="00077547"/>
    <w:rsid w:val="0008018E"/>
    <w:rsid w:val="000811D7"/>
    <w:rsid w:val="000869EA"/>
    <w:rsid w:val="00092077"/>
    <w:rsid w:val="00095FA4"/>
    <w:rsid w:val="00096444"/>
    <w:rsid w:val="000A033F"/>
    <w:rsid w:val="000A3647"/>
    <w:rsid w:val="000A4BCE"/>
    <w:rsid w:val="000A5EE6"/>
    <w:rsid w:val="000A68C8"/>
    <w:rsid w:val="000B0D24"/>
    <w:rsid w:val="000B6C37"/>
    <w:rsid w:val="000C0406"/>
    <w:rsid w:val="000C1C65"/>
    <w:rsid w:val="000C1D08"/>
    <w:rsid w:val="000C2A1B"/>
    <w:rsid w:val="000C54DA"/>
    <w:rsid w:val="000D2B78"/>
    <w:rsid w:val="000D3F50"/>
    <w:rsid w:val="000D55F8"/>
    <w:rsid w:val="000D5978"/>
    <w:rsid w:val="000D7DE6"/>
    <w:rsid w:val="000E294A"/>
    <w:rsid w:val="000E321B"/>
    <w:rsid w:val="000F1A7D"/>
    <w:rsid w:val="000F2C3C"/>
    <w:rsid w:val="000F3E62"/>
    <w:rsid w:val="001020C6"/>
    <w:rsid w:val="001023A9"/>
    <w:rsid w:val="00102E25"/>
    <w:rsid w:val="00103822"/>
    <w:rsid w:val="00104332"/>
    <w:rsid w:val="00107F27"/>
    <w:rsid w:val="001100CE"/>
    <w:rsid w:val="00113AF1"/>
    <w:rsid w:val="00114245"/>
    <w:rsid w:val="00115703"/>
    <w:rsid w:val="00120FEE"/>
    <w:rsid w:val="001210B9"/>
    <w:rsid w:val="00121970"/>
    <w:rsid w:val="00122B37"/>
    <w:rsid w:val="0012562A"/>
    <w:rsid w:val="00126A2F"/>
    <w:rsid w:val="00130EE2"/>
    <w:rsid w:val="00132C67"/>
    <w:rsid w:val="00134D6A"/>
    <w:rsid w:val="00136668"/>
    <w:rsid w:val="00141BC0"/>
    <w:rsid w:val="00141EA2"/>
    <w:rsid w:val="00146979"/>
    <w:rsid w:val="00147E6F"/>
    <w:rsid w:val="001504A8"/>
    <w:rsid w:val="00151299"/>
    <w:rsid w:val="001529DC"/>
    <w:rsid w:val="00154AF9"/>
    <w:rsid w:val="00154F63"/>
    <w:rsid w:val="001564E0"/>
    <w:rsid w:val="00163A94"/>
    <w:rsid w:val="0016740C"/>
    <w:rsid w:val="00167C1C"/>
    <w:rsid w:val="0017154B"/>
    <w:rsid w:val="0017155E"/>
    <w:rsid w:val="001739A8"/>
    <w:rsid w:val="001837B3"/>
    <w:rsid w:val="001839C3"/>
    <w:rsid w:val="00185222"/>
    <w:rsid w:val="001867A0"/>
    <w:rsid w:val="001922FC"/>
    <w:rsid w:val="00197422"/>
    <w:rsid w:val="001A0ECF"/>
    <w:rsid w:val="001A18C4"/>
    <w:rsid w:val="001A3CEF"/>
    <w:rsid w:val="001A74E0"/>
    <w:rsid w:val="001B1897"/>
    <w:rsid w:val="001B2556"/>
    <w:rsid w:val="001B56A6"/>
    <w:rsid w:val="001B5BBD"/>
    <w:rsid w:val="001C0720"/>
    <w:rsid w:val="001C0DFE"/>
    <w:rsid w:val="001C278D"/>
    <w:rsid w:val="001C36B6"/>
    <w:rsid w:val="001C5B41"/>
    <w:rsid w:val="001C6BAD"/>
    <w:rsid w:val="001D3CDA"/>
    <w:rsid w:val="001D69FF"/>
    <w:rsid w:val="001D700C"/>
    <w:rsid w:val="001D7321"/>
    <w:rsid w:val="001E2DF5"/>
    <w:rsid w:val="001E5331"/>
    <w:rsid w:val="001E544C"/>
    <w:rsid w:val="001E785B"/>
    <w:rsid w:val="001F523F"/>
    <w:rsid w:val="001F5E7B"/>
    <w:rsid w:val="001F6343"/>
    <w:rsid w:val="00205D3C"/>
    <w:rsid w:val="002065E9"/>
    <w:rsid w:val="002075C5"/>
    <w:rsid w:val="002078F3"/>
    <w:rsid w:val="0021163C"/>
    <w:rsid w:val="00212404"/>
    <w:rsid w:val="002132E2"/>
    <w:rsid w:val="0021408D"/>
    <w:rsid w:val="002144DA"/>
    <w:rsid w:val="00215866"/>
    <w:rsid w:val="00215D64"/>
    <w:rsid w:val="002237F0"/>
    <w:rsid w:val="00224846"/>
    <w:rsid w:val="002249D7"/>
    <w:rsid w:val="0022534D"/>
    <w:rsid w:val="002306CB"/>
    <w:rsid w:val="00231030"/>
    <w:rsid w:val="00233F5C"/>
    <w:rsid w:val="002378DA"/>
    <w:rsid w:val="0024016C"/>
    <w:rsid w:val="002452D0"/>
    <w:rsid w:val="002465CE"/>
    <w:rsid w:val="00247293"/>
    <w:rsid w:val="00247AB5"/>
    <w:rsid w:val="00251078"/>
    <w:rsid w:val="0025156A"/>
    <w:rsid w:val="0025179A"/>
    <w:rsid w:val="00251A29"/>
    <w:rsid w:val="00253B4B"/>
    <w:rsid w:val="0025622F"/>
    <w:rsid w:val="00256A14"/>
    <w:rsid w:val="00256FEA"/>
    <w:rsid w:val="002603C1"/>
    <w:rsid w:val="00261B2D"/>
    <w:rsid w:val="00263240"/>
    <w:rsid w:val="0026326D"/>
    <w:rsid w:val="00264068"/>
    <w:rsid w:val="00265CF6"/>
    <w:rsid w:val="00266A9C"/>
    <w:rsid w:val="002671C9"/>
    <w:rsid w:val="0027023A"/>
    <w:rsid w:val="002732C6"/>
    <w:rsid w:val="00274CD2"/>
    <w:rsid w:val="00275453"/>
    <w:rsid w:val="00276613"/>
    <w:rsid w:val="002801F1"/>
    <w:rsid w:val="002807C6"/>
    <w:rsid w:val="00283D3C"/>
    <w:rsid w:val="00285D26"/>
    <w:rsid w:val="002861A0"/>
    <w:rsid w:val="0028799E"/>
    <w:rsid w:val="002915F9"/>
    <w:rsid w:val="00291C94"/>
    <w:rsid w:val="00291FC6"/>
    <w:rsid w:val="00295A7C"/>
    <w:rsid w:val="0029747C"/>
    <w:rsid w:val="002A0C65"/>
    <w:rsid w:val="002A36D0"/>
    <w:rsid w:val="002A5AEC"/>
    <w:rsid w:val="002A5CAC"/>
    <w:rsid w:val="002A6126"/>
    <w:rsid w:val="002A6D9A"/>
    <w:rsid w:val="002B04D1"/>
    <w:rsid w:val="002B1905"/>
    <w:rsid w:val="002C0F0B"/>
    <w:rsid w:val="002C31BD"/>
    <w:rsid w:val="002C4641"/>
    <w:rsid w:val="002C48A1"/>
    <w:rsid w:val="002C4DA1"/>
    <w:rsid w:val="002C7967"/>
    <w:rsid w:val="002D19E3"/>
    <w:rsid w:val="002D1FC5"/>
    <w:rsid w:val="002D49A4"/>
    <w:rsid w:val="002D527F"/>
    <w:rsid w:val="002E028B"/>
    <w:rsid w:val="002E1258"/>
    <w:rsid w:val="002E4972"/>
    <w:rsid w:val="002E69DB"/>
    <w:rsid w:val="002E7D0A"/>
    <w:rsid w:val="002F0851"/>
    <w:rsid w:val="002F3413"/>
    <w:rsid w:val="002F398C"/>
    <w:rsid w:val="002F4EF8"/>
    <w:rsid w:val="002F67AD"/>
    <w:rsid w:val="003014A6"/>
    <w:rsid w:val="00302FB7"/>
    <w:rsid w:val="00310270"/>
    <w:rsid w:val="00313C3B"/>
    <w:rsid w:val="00313FEC"/>
    <w:rsid w:val="003158F8"/>
    <w:rsid w:val="00317DB9"/>
    <w:rsid w:val="0032457A"/>
    <w:rsid w:val="00325E85"/>
    <w:rsid w:val="00325FE7"/>
    <w:rsid w:val="003263FA"/>
    <w:rsid w:val="00326DE9"/>
    <w:rsid w:val="0032735A"/>
    <w:rsid w:val="00331C60"/>
    <w:rsid w:val="00335AD1"/>
    <w:rsid w:val="00336641"/>
    <w:rsid w:val="00340510"/>
    <w:rsid w:val="00340834"/>
    <w:rsid w:val="00342515"/>
    <w:rsid w:val="003456EC"/>
    <w:rsid w:val="00346043"/>
    <w:rsid w:val="00346CC8"/>
    <w:rsid w:val="00351704"/>
    <w:rsid w:val="00353BF6"/>
    <w:rsid w:val="003560E5"/>
    <w:rsid w:val="00361D29"/>
    <w:rsid w:val="00362B4E"/>
    <w:rsid w:val="0036319E"/>
    <w:rsid w:val="00365E62"/>
    <w:rsid w:val="00370BAF"/>
    <w:rsid w:val="00371D8E"/>
    <w:rsid w:val="0037253F"/>
    <w:rsid w:val="00372540"/>
    <w:rsid w:val="0037430B"/>
    <w:rsid w:val="00376640"/>
    <w:rsid w:val="00381D6D"/>
    <w:rsid w:val="00381E14"/>
    <w:rsid w:val="00381E5D"/>
    <w:rsid w:val="003831E2"/>
    <w:rsid w:val="003833FA"/>
    <w:rsid w:val="0038418E"/>
    <w:rsid w:val="00385FCA"/>
    <w:rsid w:val="0038632D"/>
    <w:rsid w:val="00386C31"/>
    <w:rsid w:val="00392DA1"/>
    <w:rsid w:val="0039565A"/>
    <w:rsid w:val="00397C1D"/>
    <w:rsid w:val="003A2688"/>
    <w:rsid w:val="003A4B9D"/>
    <w:rsid w:val="003B033B"/>
    <w:rsid w:val="003B1F19"/>
    <w:rsid w:val="003B4522"/>
    <w:rsid w:val="003B721F"/>
    <w:rsid w:val="003C0535"/>
    <w:rsid w:val="003C0A7D"/>
    <w:rsid w:val="003C1386"/>
    <w:rsid w:val="003C294C"/>
    <w:rsid w:val="003C2E6F"/>
    <w:rsid w:val="003C4CE4"/>
    <w:rsid w:val="003C5318"/>
    <w:rsid w:val="003C63B9"/>
    <w:rsid w:val="003C7269"/>
    <w:rsid w:val="003C7985"/>
    <w:rsid w:val="003D0F3F"/>
    <w:rsid w:val="003D1993"/>
    <w:rsid w:val="003D2826"/>
    <w:rsid w:val="003D634E"/>
    <w:rsid w:val="003D6651"/>
    <w:rsid w:val="003E0381"/>
    <w:rsid w:val="003E46FC"/>
    <w:rsid w:val="003E5C68"/>
    <w:rsid w:val="003E7BEB"/>
    <w:rsid w:val="003E7C2D"/>
    <w:rsid w:val="003F0D37"/>
    <w:rsid w:val="003F1FD4"/>
    <w:rsid w:val="003F5435"/>
    <w:rsid w:val="003F6B90"/>
    <w:rsid w:val="003F7608"/>
    <w:rsid w:val="003F7660"/>
    <w:rsid w:val="004001AC"/>
    <w:rsid w:val="00402DD4"/>
    <w:rsid w:val="00411C6B"/>
    <w:rsid w:val="00414FAE"/>
    <w:rsid w:val="004170F3"/>
    <w:rsid w:val="00422413"/>
    <w:rsid w:val="004246AC"/>
    <w:rsid w:val="00425AB9"/>
    <w:rsid w:val="00425D74"/>
    <w:rsid w:val="00426475"/>
    <w:rsid w:val="00426711"/>
    <w:rsid w:val="00434905"/>
    <w:rsid w:val="0043700D"/>
    <w:rsid w:val="00440DD3"/>
    <w:rsid w:val="004445C4"/>
    <w:rsid w:val="004469D2"/>
    <w:rsid w:val="00451FC5"/>
    <w:rsid w:val="00452111"/>
    <w:rsid w:val="00452A20"/>
    <w:rsid w:val="00453FE9"/>
    <w:rsid w:val="004553D8"/>
    <w:rsid w:val="00455A6E"/>
    <w:rsid w:val="004563BE"/>
    <w:rsid w:val="004579E6"/>
    <w:rsid w:val="00462E64"/>
    <w:rsid w:val="00463F26"/>
    <w:rsid w:val="00464925"/>
    <w:rsid w:val="00465822"/>
    <w:rsid w:val="00466643"/>
    <w:rsid w:val="00467CAB"/>
    <w:rsid w:val="0047010D"/>
    <w:rsid w:val="0047494E"/>
    <w:rsid w:val="00477C93"/>
    <w:rsid w:val="00477F47"/>
    <w:rsid w:val="00480951"/>
    <w:rsid w:val="00480B7C"/>
    <w:rsid w:val="00481F29"/>
    <w:rsid w:val="0048288F"/>
    <w:rsid w:val="0048572B"/>
    <w:rsid w:val="00490854"/>
    <w:rsid w:val="00491C61"/>
    <w:rsid w:val="0049360F"/>
    <w:rsid w:val="004940EB"/>
    <w:rsid w:val="00494E47"/>
    <w:rsid w:val="00495338"/>
    <w:rsid w:val="00495AD0"/>
    <w:rsid w:val="004A0A38"/>
    <w:rsid w:val="004A2981"/>
    <w:rsid w:val="004A299D"/>
    <w:rsid w:val="004A38CC"/>
    <w:rsid w:val="004A6C86"/>
    <w:rsid w:val="004B052B"/>
    <w:rsid w:val="004B0C7B"/>
    <w:rsid w:val="004C7294"/>
    <w:rsid w:val="004D3C2D"/>
    <w:rsid w:val="004D6B9C"/>
    <w:rsid w:val="004E31B1"/>
    <w:rsid w:val="004E3AC0"/>
    <w:rsid w:val="004E596F"/>
    <w:rsid w:val="004E66F9"/>
    <w:rsid w:val="004E755A"/>
    <w:rsid w:val="004F2CB6"/>
    <w:rsid w:val="004F47D1"/>
    <w:rsid w:val="004F6860"/>
    <w:rsid w:val="0050246F"/>
    <w:rsid w:val="00505537"/>
    <w:rsid w:val="005067C4"/>
    <w:rsid w:val="00510947"/>
    <w:rsid w:val="005134AB"/>
    <w:rsid w:val="0051396F"/>
    <w:rsid w:val="00513F43"/>
    <w:rsid w:val="0051542C"/>
    <w:rsid w:val="00516096"/>
    <w:rsid w:val="00516B6C"/>
    <w:rsid w:val="00516B95"/>
    <w:rsid w:val="0051715D"/>
    <w:rsid w:val="00517A8D"/>
    <w:rsid w:val="00520249"/>
    <w:rsid w:val="00520C6B"/>
    <w:rsid w:val="00524BD3"/>
    <w:rsid w:val="00525A9D"/>
    <w:rsid w:val="0052620B"/>
    <w:rsid w:val="00530216"/>
    <w:rsid w:val="0053170F"/>
    <w:rsid w:val="005327E3"/>
    <w:rsid w:val="00534F2D"/>
    <w:rsid w:val="0053523F"/>
    <w:rsid w:val="005366A8"/>
    <w:rsid w:val="00536A04"/>
    <w:rsid w:val="00536E72"/>
    <w:rsid w:val="00537069"/>
    <w:rsid w:val="0054016C"/>
    <w:rsid w:val="005401EF"/>
    <w:rsid w:val="00541E2D"/>
    <w:rsid w:val="00541EB4"/>
    <w:rsid w:val="00541F9F"/>
    <w:rsid w:val="00543D34"/>
    <w:rsid w:val="00544257"/>
    <w:rsid w:val="00546479"/>
    <w:rsid w:val="00550AFF"/>
    <w:rsid w:val="005538A5"/>
    <w:rsid w:val="0055581E"/>
    <w:rsid w:val="00555EE4"/>
    <w:rsid w:val="00557FFB"/>
    <w:rsid w:val="00560F3E"/>
    <w:rsid w:val="005610E2"/>
    <w:rsid w:val="005625F7"/>
    <w:rsid w:val="005742C3"/>
    <w:rsid w:val="00577DDA"/>
    <w:rsid w:val="005819FB"/>
    <w:rsid w:val="005868C5"/>
    <w:rsid w:val="00587533"/>
    <w:rsid w:val="0058775D"/>
    <w:rsid w:val="0058789E"/>
    <w:rsid w:val="00590C54"/>
    <w:rsid w:val="00591E9F"/>
    <w:rsid w:val="0059225E"/>
    <w:rsid w:val="0059359F"/>
    <w:rsid w:val="00596F22"/>
    <w:rsid w:val="005A218C"/>
    <w:rsid w:val="005A248D"/>
    <w:rsid w:val="005A397E"/>
    <w:rsid w:val="005A507D"/>
    <w:rsid w:val="005A5CAF"/>
    <w:rsid w:val="005B2C7F"/>
    <w:rsid w:val="005B5758"/>
    <w:rsid w:val="005C48B7"/>
    <w:rsid w:val="005C5691"/>
    <w:rsid w:val="005C7CB6"/>
    <w:rsid w:val="005D0D16"/>
    <w:rsid w:val="005D3A19"/>
    <w:rsid w:val="005D3CF7"/>
    <w:rsid w:val="005D3F6F"/>
    <w:rsid w:val="005D5B86"/>
    <w:rsid w:val="005D65A6"/>
    <w:rsid w:val="005D6ACB"/>
    <w:rsid w:val="005E08D9"/>
    <w:rsid w:val="005E2061"/>
    <w:rsid w:val="005E411C"/>
    <w:rsid w:val="005E45B7"/>
    <w:rsid w:val="005E6612"/>
    <w:rsid w:val="005E7FC6"/>
    <w:rsid w:val="005F1930"/>
    <w:rsid w:val="005F22B2"/>
    <w:rsid w:val="005F24D1"/>
    <w:rsid w:val="005F3750"/>
    <w:rsid w:val="005F4707"/>
    <w:rsid w:val="005F4ED7"/>
    <w:rsid w:val="005F5783"/>
    <w:rsid w:val="005F6E84"/>
    <w:rsid w:val="005F710F"/>
    <w:rsid w:val="0060084E"/>
    <w:rsid w:val="00600E38"/>
    <w:rsid w:val="00601664"/>
    <w:rsid w:val="0060375C"/>
    <w:rsid w:val="006126AB"/>
    <w:rsid w:val="006126CD"/>
    <w:rsid w:val="006139BC"/>
    <w:rsid w:val="00614521"/>
    <w:rsid w:val="006217CA"/>
    <w:rsid w:val="006231A2"/>
    <w:rsid w:val="00623685"/>
    <w:rsid w:val="006266C8"/>
    <w:rsid w:val="006267B3"/>
    <w:rsid w:val="006326CE"/>
    <w:rsid w:val="00633314"/>
    <w:rsid w:val="00636992"/>
    <w:rsid w:val="006373CA"/>
    <w:rsid w:val="0064245A"/>
    <w:rsid w:val="00643BB7"/>
    <w:rsid w:val="00644439"/>
    <w:rsid w:val="00646D48"/>
    <w:rsid w:val="00651635"/>
    <w:rsid w:val="00651EB9"/>
    <w:rsid w:val="006546BC"/>
    <w:rsid w:val="0065678D"/>
    <w:rsid w:val="00656B28"/>
    <w:rsid w:val="006610DB"/>
    <w:rsid w:val="006618AC"/>
    <w:rsid w:val="00663810"/>
    <w:rsid w:val="00663C7E"/>
    <w:rsid w:val="0066469B"/>
    <w:rsid w:val="00664C0C"/>
    <w:rsid w:val="006677A6"/>
    <w:rsid w:val="00671689"/>
    <w:rsid w:val="00676777"/>
    <w:rsid w:val="00676815"/>
    <w:rsid w:val="00677B6F"/>
    <w:rsid w:val="00682375"/>
    <w:rsid w:val="0068263F"/>
    <w:rsid w:val="0068375C"/>
    <w:rsid w:val="00685F70"/>
    <w:rsid w:val="0068618E"/>
    <w:rsid w:val="0068693A"/>
    <w:rsid w:val="00686D1C"/>
    <w:rsid w:val="006904F7"/>
    <w:rsid w:val="00692F57"/>
    <w:rsid w:val="00693B32"/>
    <w:rsid w:val="00697A8D"/>
    <w:rsid w:val="00697F5E"/>
    <w:rsid w:val="006A0A58"/>
    <w:rsid w:val="006A128A"/>
    <w:rsid w:val="006A21EA"/>
    <w:rsid w:val="006A51C5"/>
    <w:rsid w:val="006B4781"/>
    <w:rsid w:val="006B48A2"/>
    <w:rsid w:val="006B6E41"/>
    <w:rsid w:val="006C165D"/>
    <w:rsid w:val="006C1C64"/>
    <w:rsid w:val="006C28FB"/>
    <w:rsid w:val="006C34AB"/>
    <w:rsid w:val="006C4C9F"/>
    <w:rsid w:val="006C63E3"/>
    <w:rsid w:val="006C697D"/>
    <w:rsid w:val="006C76B4"/>
    <w:rsid w:val="006C7F18"/>
    <w:rsid w:val="006E0989"/>
    <w:rsid w:val="006E64A7"/>
    <w:rsid w:val="006E6F6A"/>
    <w:rsid w:val="006F3B9B"/>
    <w:rsid w:val="006F552D"/>
    <w:rsid w:val="006F55F3"/>
    <w:rsid w:val="006F5778"/>
    <w:rsid w:val="006F5996"/>
    <w:rsid w:val="006F67D3"/>
    <w:rsid w:val="006F6A0A"/>
    <w:rsid w:val="006F6FA5"/>
    <w:rsid w:val="007011EC"/>
    <w:rsid w:val="007022DA"/>
    <w:rsid w:val="00705E9A"/>
    <w:rsid w:val="00706522"/>
    <w:rsid w:val="00710182"/>
    <w:rsid w:val="0071332B"/>
    <w:rsid w:val="007133EE"/>
    <w:rsid w:val="00715BE4"/>
    <w:rsid w:val="007162C9"/>
    <w:rsid w:val="00717E79"/>
    <w:rsid w:val="0072142B"/>
    <w:rsid w:val="00722508"/>
    <w:rsid w:val="00724A84"/>
    <w:rsid w:val="00725595"/>
    <w:rsid w:val="00725EB0"/>
    <w:rsid w:val="00726480"/>
    <w:rsid w:val="00727C1B"/>
    <w:rsid w:val="00730D1B"/>
    <w:rsid w:val="00735141"/>
    <w:rsid w:val="00735D18"/>
    <w:rsid w:val="0074022F"/>
    <w:rsid w:val="00740CD9"/>
    <w:rsid w:val="007412E8"/>
    <w:rsid w:val="007423E7"/>
    <w:rsid w:val="007465BF"/>
    <w:rsid w:val="00746DC6"/>
    <w:rsid w:val="00753492"/>
    <w:rsid w:val="00753577"/>
    <w:rsid w:val="0075406F"/>
    <w:rsid w:val="0075522B"/>
    <w:rsid w:val="007574D1"/>
    <w:rsid w:val="0075787A"/>
    <w:rsid w:val="007600C5"/>
    <w:rsid w:val="007604DC"/>
    <w:rsid w:val="00760A40"/>
    <w:rsid w:val="00764C83"/>
    <w:rsid w:val="00765673"/>
    <w:rsid w:val="0076570A"/>
    <w:rsid w:val="00770BDE"/>
    <w:rsid w:val="007818F7"/>
    <w:rsid w:val="00783198"/>
    <w:rsid w:val="007833B6"/>
    <w:rsid w:val="00783664"/>
    <w:rsid w:val="0078416F"/>
    <w:rsid w:val="007868E6"/>
    <w:rsid w:val="00790A7C"/>
    <w:rsid w:val="00790EA8"/>
    <w:rsid w:val="00791462"/>
    <w:rsid w:val="00791DB2"/>
    <w:rsid w:val="007945B9"/>
    <w:rsid w:val="00794826"/>
    <w:rsid w:val="00796FE7"/>
    <w:rsid w:val="007A02E0"/>
    <w:rsid w:val="007A06C4"/>
    <w:rsid w:val="007A0D74"/>
    <w:rsid w:val="007A1BD6"/>
    <w:rsid w:val="007A559D"/>
    <w:rsid w:val="007A6100"/>
    <w:rsid w:val="007B040D"/>
    <w:rsid w:val="007B067B"/>
    <w:rsid w:val="007B3664"/>
    <w:rsid w:val="007B489F"/>
    <w:rsid w:val="007B507F"/>
    <w:rsid w:val="007B76D9"/>
    <w:rsid w:val="007C0A2B"/>
    <w:rsid w:val="007C0DFF"/>
    <w:rsid w:val="007C0F39"/>
    <w:rsid w:val="007C2786"/>
    <w:rsid w:val="007C6317"/>
    <w:rsid w:val="007C6F97"/>
    <w:rsid w:val="007D4B43"/>
    <w:rsid w:val="007D71C9"/>
    <w:rsid w:val="007E6B08"/>
    <w:rsid w:val="007E6C61"/>
    <w:rsid w:val="007E71E4"/>
    <w:rsid w:val="007E76D4"/>
    <w:rsid w:val="007F10F8"/>
    <w:rsid w:val="007F31CB"/>
    <w:rsid w:val="007F3565"/>
    <w:rsid w:val="007F46A1"/>
    <w:rsid w:val="007F6EFA"/>
    <w:rsid w:val="007F791B"/>
    <w:rsid w:val="0080088B"/>
    <w:rsid w:val="00803C28"/>
    <w:rsid w:val="00805976"/>
    <w:rsid w:val="00805F4B"/>
    <w:rsid w:val="00807B52"/>
    <w:rsid w:val="00810156"/>
    <w:rsid w:val="0081027B"/>
    <w:rsid w:val="00810C5B"/>
    <w:rsid w:val="00813B3B"/>
    <w:rsid w:val="00813E2C"/>
    <w:rsid w:val="0081405B"/>
    <w:rsid w:val="00816A12"/>
    <w:rsid w:val="00816CD6"/>
    <w:rsid w:val="00817335"/>
    <w:rsid w:val="00820ECB"/>
    <w:rsid w:val="0082448C"/>
    <w:rsid w:val="008268BF"/>
    <w:rsid w:val="00827BCE"/>
    <w:rsid w:val="008310F8"/>
    <w:rsid w:val="008328DE"/>
    <w:rsid w:val="008337CE"/>
    <w:rsid w:val="00833AD0"/>
    <w:rsid w:val="00837E25"/>
    <w:rsid w:val="00840270"/>
    <w:rsid w:val="00841766"/>
    <w:rsid w:val="008421E8"/>
    <w:rsid w:val="008505FC"/>
    <w:rsid w:val="008517A4"/>
    <w:rsid w:val="008535CB"/>
    <w:rsid w:val="0085500B"/>
    <w:rsid w:val="0085545B"/>
    <w:rsid w:val="008555C4"/>
    <w:rsid w:val="00860855"/>
    <w:rsid w:val="0086121A"/>
    <w:rsid w:val="00862F4B"/>
    <w:rsid w:val="00866097"/>
    <w:rsid w:val="008674A4"/>
    <w:rsid w:val="0087497F"/>
    <w:rsid w:val="0088079B"/>
    <w:rsid w:val="00883651"/>
    <w:rsid w:val="00884666"/>
    <w:rsid w:val="00886296"/>
    <w:rsid w:val="00886CB7"/>
    <w:rsid w:val="00887E2A"/>
    <w:rsid w:val="00890FA4"/>
    <w:rsid w:val="008A096A"/>
    <w:rsid w:val="008A1B32"/>
    <w:rsid w:val="008A36D3"/>
    <w:rsid w:val="008A421C"/>
    <w:rsid w:val="008A54EB"/>
    <w:rsid w:val="008A5904"/>
    <w:rsid w:val="008A7345"/>
    <w:rsid w:val="008B0CFD"/>
    <w:rsid w:val="008B395C"/>
    <w:rsid w:val="008B3B35"/>
    <w:rsid w:val="008B40F6"/>
    <w:rsid w:val="008B44B4"/>
    <w:rsid w:val="008B47E5"/>
    <w:rsid w:val="008B5BFA"/>
    <w:rsid w:val="008C13AB"/>
    <w:rsid w:val="008C1F07"/>
    <w:rsid w:val="008C3F31"/>
    <w:rsid w:val="008C59F4"/>
    <w:rsid w:val="008C6044"/>
    <w:rsid w:val="008D1334"/>
    <w:rsid w:val="008D14A7"/>
    <w:rsid w:val="008D19EB"/>
    <w:rsid w:val="008D1D6F"/>
    <w:rsid w:val="008D6059"/>
    <w:rsid w:val="008D7AA6"/>
    <w:rsid w:val="008E0166"/>
    <w:rsid w:val="008E22ED"/>
    <w:rsid w:val="008E4963"/>
    <w:rsid w:val="008E546F"/>
    <w:rsid w:val="008E55D4"/>
    <w:rsid w:val="008E6669"/>
    <w:rsid w:val="008E7A54"/>
    <w:rsid w:val="008F09E2"/>
    <w:rsid w:val="008F1C87"/>
    <w:rsid w:val="008F28E7"/>
    <w:rsid w:val="008F3DCA"/>
    <w:rsid w:val="008F4389"/>
    <w:rsid w:val="008F4B04"/>
    <w:rsid w:val="008F516C"/>
    <w:rsid w:val="008F694E"/>
    <w:rsid w:val="008F7E36"/>
    <w:rsid w:val="00900347"/>
    <w:rsid w:val="00905AAC"/>
    <w:rsid w:val="0091246D"/>
    <w:rsid w:val="00913DE0"/>
    <w:rsid w:val="00915A1E"/>
    <w:rsid w:val="00915DE5"/>
    <w:rsid w:val="00916182"/>
    <w:rsid w:val="00916BEA"/>
    <w:rsid w:val="009175BB"/>
    <w:rsid w:val="00917ABF"/>
    <w:rsid w:val="00921359"/>
    <w:rsid w:val="00921DEE"/>
    <w:rsid w:val="00921E82"/>
    <w:rsid w:val="00922170"/>
    <w:rsid w:val="009339EB"/>
    <w:rsid w:val="00933A72"/>
    <w:rsid w:val="0094055D"/>
    <w:rsid w:val="0094285B"/>
    <w:rsid w:val="00942F6E"/>
    <w:rsid w:val="00943F16"/>
    <w:rsid w:val="0094480F"/>
    <w:rsid w:val="009460C4"/>
    <w:rsid w:val="009545C7"/>
    <w:rsid w:val="009569F1"/>
    <w:rsid w:val="0095737E"/>
    <w:rsid w:val="00960892"/>
    <w:rsid w:val="00962CA7"/>
    <w:rsid w:val="0096760E"/>
    <w:rsid w:val="0097223B"/>
    <w:rsid w:val="00973ED7"/>
    <w:rsid w:val="00974E08"/>
    <w:rsid w:val="00975438"/>
    <w:rsid w:val="00975A71"/>
    <w:rsid w:val="009820E4"/>
    <w:rsid w:val="00983782"/>
    <w:rsid w:val="00984958"/>
    <w:rsid w:val="00985523"/>
    <w:rsid w:val="00987736"/>
    <w:rsid w:val="00987A97"/>
    <w:rsid w:val="00987D89"/>
    <w:rsid w:val="00991447"/>
    <w:rsid w:val="00991662"/>
    <w:rsid w:val="009937A1"/>
    <w:rsid w:val="00994498"/>
    <w:rsid w:val="009950AA"/>
    <w:rsid w:val="00996CAB"/>
    <w:rsid w:val="009976FB"/>
    <w:rsid w:val="009A0A24"/>
    <w:rsid w:val="009A1307"/>
    <w:rsid w:val="009A213A"/>
    <w:rsid w:val="009A2A8C"/>
    <w:rsid w:val="009A383B"/>
    <w:rsid w:val="009A493A"/>
    <w:rsid w:val="009B3927"/>
    <w:rsid w:val="009B57EB"/>
    <w:rsid w:val="009B66FF"/>
    <w:rsid w:val="009C1B80"/>
    <w:rsid w:val="009C29F6"/>
    <w:rsid w:val="009C2C5A"/>
    <w:rsid w:val="009C3B46"/>
    <w:rsid w:val="009C3FA9"/>
    <w:rsid w:val="009C4481"/>
    <w:rsid w:val="009C504B"/>
    <w:rsid w:val="009D06D8"/>
    <w:rsid w:val="009D157C"/>
    <w:rsid w:val="009D2134"/>
    <w:rsid w:val="009D73F3"/>
    <w:rsid w:val="009E0299"/>
    <w:rsid w:val="009E09B8"/>
    <w:rsid w:val="009E0B06"/>
    <w:rsid w:val="009E0BFA"/>
    <w:rsid w:val="009E32AA"/>
    <w:rsid w:val="009E3701"/>
    <w:rsid w:val="009E42CE"/>
    <w:rsid w:val="009E75F9"/>
    <w:rsid w:val="009E7DAE"/>
    <w:rsid w:val="009F01D8"/>
    <w:rsid w:val="009F297B"/>
    <w:rsid w:val="009F4983"/>
    <w:rsid w:val="009F52AF"/>
    <w:rsid w:val="009F560D"/>
    <w:rsid w:val="009F68B8"/>
    <w:rsid w:val="009F6FC7"/>
    <w:rsid w:val="009F7898"/>
    <w:rsid w:val="00A003E5"/>
    <w:rsid w:val="00A01789"/>
    <w:rsid w:val="00A029DE"/>
    <w:rsid w:val="00A02BDE"/>
    <w:rsid w:val="00A02D2A"/>
    <w:rsid w:val="00A04D79"/>
    <w:rsid w:val="00A064FE"/>
    <w:rsid w:val="00A121D2"/>
    <w:rsid w:val="00A133FC"/>
    <w:rsid w:val="00A152CB"/>
    <w:rsid w:val="00A1561C"/>
    <w:rsid w:val="00A17F82"/>
    <w:rsid w:val="00A20B37"/>
    <w:rsid w:val="00A229CB"/>
    <w:rsid w:val="00A2338E"/>
    <w:rsid w:val="00A25CCA"/>
    <w:rsid w:val="00A2687D"/>
    <w:rsid w:val="00A26E98"/>
    <w:rsid w:val="00A276E3"/>
    <w:rsid w:val="00A33AE6"/>
    <w:rsid w:val="00A40412"/>
    <w:rsid w:val="00A405F4"/>
    <w:rsid w:val="00A40863"/>
    <w:rsid w:val="00A4128E"/>
    <w:rsid w:val="00A4194C"/>
    <w:rsid w:val="00A41ED7"/>
    <w:rsid w:val="00A44071"/>
    <w:rsid w:val="00A44813"/>
    <w:rsid w:val="00A45338"/>
    <w:rsid w:val="00A46381"/>
    <w:rsid w:val="00A464D0"/>
    <w:rsid w:val="00A5089C"/>
    <w:rsid w:val="00A50D95"/>
    <w:rsid w:val="00A519E9"/>
    <w:rsid w:val="00A53627"/>
    <w:rsid w:val="00A544F5"/>
    <w:rsid w:val="00A5593C"/>
    <w:rsid w:val="00A55FCD"/>
    <w:rsid w:val="00A60BFC"/>
    <w:rsid w:val="00A63526"/>
    <w:rsid w:val="00A67504"/>
    <w:rsid w:val="00A67618"/>
    <w:rsid w:val="00A77941"/>
    <w:rsid w:val="00A824EC"/>
    <w:rsid w:val="00A83E63"/>
    <w:rsid w:val="00A8425F"/>
    <w:rsid w:val="00A84F8E"/>
    <w:rsid w:val="00A8564B"/>
    <w:rsid w:val="00A86BE9"/>
    <w:rsid w:val="00A86C86"/>
    <w:rsid w:val="00A871B1"/>
    <w:rsid w:val="00A9081A"/>
    <w:rsid w:val="00A928D2"/>
    <w:rsid w:val="00A931E4"/>
    <w:rsid w:val="00A9363B"/>
    <w:rsid w:val="00A938F2"/>
    <w:rsid w:val="00A96928"/>
    <w:rsid w:val="00A97DD8"/>
    <w:rsid w:val="00AA0502"/>
    <w:rsid w:val="00AA110F"/>
    <w:rsid w:val="00AA255F"/>
    <w:rsid w:val="00AA2609"/>
    <w:rsid w:val="00AA6197"/>
    <w:rsid w:val="00AB0B8F"/>
    <w:rsid w:val="00AB0DC0"/>
    <w:rsid w:val="00AB136A"/>
    <w:rsid w:val="00AB1EFE"/>
    <w:rsid w:val="00AC5385"/>
    <w:rsid w:val="00AC6D5D"/>
    <w:rsid w:val="00AD0C32"/>
    <w:rsid w:val="00AD0CDD"/>
    <w:rsid w:val="00AD19F8"/>
    <w:rsid w:val="00AD3246"/>
    <w:rsid w:val="00AE038D"/>
    <w:rsid w:val="00AE0AF2"/>
    <w:rsid w:val="00AE102A"/>
    <w:rsid w:val="00AE52ED"/>
    <w:rsid w:val="00AE61F3"/>
    <w:rsid w:val="00AE6903"/>
    <w:rsid w:val="00AE7398"/>
    <w:rsid w:val="00AF113A"/>
    <w:rsid w:val="00AF42BA"/>
    <w:rsid w:val="00AF4A29"/>
    <w:rsid w:val="00AF570B"/>
    <w:rsid w:val="00AF7F9E"/>
    <w:rsid w:val="00B005BA"/>
    <w:rsid w:val="00B00E28"/>
    <w:rsid w:val="00B0196F"/>
    <w:rsid w:val="00B05A46"/>
    <w:rsid w:val="00B11D8C"/>
    <w:rsid w:val="00B12204"/>
    <w:rsid w:val="00B14160"/>
    <w:rsid w:val="00B14FBA"/>
    <w:rsid w:val="00B16559"/>
    <w:rsid w:val="00B17E4A"/>
    <w:rsid w:val="00B2098B"/>
    <w:rsid w:val="00B20BAD"/>
    <w:rsid w:val="00B22D44"/>
    <w:rsid w:val="00B233F6"/>
    <w:rsid w:val="00B26392"/>
    <w:rsid w:val="00B27D8E"/>
    <w:rsid w:val="00B32288"/>
    <w:rsid w:val="00B34DA9"/>
    <w:rsid w:val="00B362FA"/>
    <w:rsid w:val="00B401DB"/>
    <w:rsid w:val="00B41A5E"/>
    <w:rsid w:val="00B44F0A"/>
    <w:rsid w:val="00B52553"/>
    <w:rsid w:val="00B54E56"/>
    <w:rsid w:val="00B56230"/>
    <w:rsid w:val="00B56F2C"/>
    <w:rsid w:val="00B57CA5"/>
    <w:rsid w:val="00B602C9"/>
    <w:rsid w:val="00B6188B"/>
    <w:rsid w:val="00B64D5C"/>
    <w:rsid w:val="00B65356"/>
    <w:rsid w:val="00B663B3"/>
    <w:rsid w:val="00B70749"/>
    <w:rsid w:val="00B7075C"/>
    <w:rsid w:val="00B74BAD"/>
    <w:rsid w:val="00B75C4F"/>
    <w:rsid w:val="00B80265"/>
    <w:rsid w:val="00B814AA"/>
    <w:rsid w:val="00B83613"/>
    <w:rsid w:val="00B83FC2"/>
    <w:rsid w:val="00B91685"/>
    <w:rsid w:val="00B94507"/>
    <w:rsid w:val="00B978C8"/>
    <w:rsid w:val="00BA0362"/>
    <w:rsid w:val="00BA3B77"/>
    <w:rsid w:val="00BA4891"/>
    <w:rsid w:val="00BA5496"/>
    <w:rsid w:val="00BA5BCC"/>
    <w:rsid w:val="00BA5EE2"/>
    <w:rsid w:val="00BA7D03"/>
    <w:rsid w:val="00BB1458"/>
    <w:rsid w:val="00BB19F2"/>
    <w:rsid w:val="00BB23B8"/>
    <w:rsid w:val="00BB3DED"/>
    <w:rsid w:val="00BB4C76"/>
    <w:rsid w:val="00BC0693"/>
    <w:rsid w:val="00BC1BA1"/>
    <w:rsid w:val="00BC2277"/>
    <w:rsid w:val="00BC298B"/>
    <w:rsid w:val="00BC351A"/>
    <w:rsid w:val="00BC3717"/>
    <w:rsid w:val="00BC4D40"/>
    <w:rsid w:val="00BC5AD3"/>
    <w:rsid w:val="00BC7C95"/>
    <w:rsid w:val="00BD63B5"/>
    <w:rsid w:val="00BD705D"/>
    <w:rsid w:val="00BD7C3C"/>
    <w:rsid w:val="00BD7E92"/>
    <w:rsid w:val="00BE0D21"/>
    <w:rsid w:val="00BE105A"/>
    <w:rsid w:val="00BE4BC2"/>
    <w:rsid w:val="00BE50C8"/>
    <w:rsid w:val="00BE5520"/>
    <w:rsid w:val="00BE6437"/>
    <w:rsid w:val="00BE6E74"/>
    <w:rsid w:val="00BF177D"/>
    <w:rsid w:val="00BF18FE"/>
    <w:rsid w:val="00BF1F91"/>
    <w:rsid w:val="00BF6B93"/>
    <w:rsid w:val="00BF7473"/>
    <w:rsid w:val="00C013AE"/>
    <w:rsid w:val="00C02A64"/>
    <w:rsid w:val="00C0681D"/>
    <w:rsid w:val="00C13CDF"/>
    <w:rsid w:val="00C13DBE"/>
    <w:rsid w:val="00C14AA2"/>
    <w:rsid w:val="00C200CE"/>
    <w:rsid w:val="00C209C4"/>
    <w:rsid w:val="00C20A93"/>
    <w:rsid w:val="00C20CF3"/>
    <w:rsid w:val="00C20CF5"/>
    <w:rsid w:val="00C25C53"/>
    <w:rsid w:val="00C25D3C"/>
    <w:rsid w:val="00C25FE7"/>
    <w:rsid w:val="00C26928"/>
    <w:rsid w:val="00C27230"/>
    <w:rsid w:val="00C30984"/>
    <w:rsid w:val="00C30D45"/>
    <w:rsid w:val="00C3364F"/>
    <w:rsid w:val="00C367A8"/>
    <w:rsid w:val="00C4235D"/>
    <w:rsid w:val="00C427B8"/>
    <w:rsid w:val="00C436E2"/>
    <w:rsid w:val="00C45644"/>
    <w:rsid w:val="00C45882"/>
    <w:rsid w:val="00C45E7B"/>
    <w:rsid w:val="00C4767A"/>
    <w:rsid w:val="00C47875"/>
    <w:rsid w:val="00C5064D"/>
    <w:rsid w:val="00C526E1"/>
    <w:rsid w:val="00C56DF0"/>
    <w:rsid w:val="00C57594"/>
    <w:rsid w:val="00C60088"/>
    <w:rsid w:val="00C62BCD"/>
    <w:rsid w:val="00C65E64"/>
    <w:rsid w:val="00C66816"/>
    <w:rsid w:val="00C66C7C"/>
    <w:rsid w:val="00C70DAD"/>
    <w:rsid w:val="00C8134A"/>
    <w:rsid w:val="00C81CC6"/>
    <w:rsid w:val="00C820C4"/>
    <w:rsid w:val="00C83763"/>
    <w:rsid w:val="00C86B9E"/>
    <w:rsid w:val="00C87958"/>
    <w:rsid w:val="00C90BEA"/>
    <w:rsid w:val="00C93D63"/>
    <w:rsid w:val="00CA1858"/>
    <w:rsid w:val="00CA188C"/>
    <w:rsid w:val="00CA1A84"/>
    <w:rsid w:val="00CA1FAA"/>
    <w:rsid w:val="00CA2A4A"/>
    <w:rsid w:val="00CA331B"/>
    <w:rsid w:val="00CA560F"/>
    <w:rsid w:val="00CA66A3"/>
    <w:rsid w:val="00CB05B0"/>
    <w:rsid w:val="00CB1882"/>
    <w:rsid w:val="00CB2BD4"/>
    <w:rsid w:val="00CB5B0B"/>
    <w:rsid w:val="00CC0C12"/>
    <w:rsid w:val="00CC2574"/>
    <w:rsid w:val="00CC497D"/>
    <w:rsid w:val="00CC6B3F"/>
    <w:rsid w:val="00CC7478"/>
    <w:rsid w:val="00CC7606"/>
    <w:rsid w:val="00CD0778"/>
    <w:rsid w:val="00CD1B5B"/>
    <w:rsid w:val="00CD229B"/>
    <w:rsid w:val="00CD51D9"/>
    <w:rsid w:val="00CD53E2"/>
    <w:rsid w:val="00CD591D"/>
    <w:rsid w:val="00CD6482"/>
    <w:rsid w:val="00CD71EE"/>
    <w:rsid w:val="00CE1369"/>
    <w:rsid w:val="00CF1270"/>
    <w:rsid w:val="00CF1BD7"/>
    <w:rsid w:val="00CF49BE"/>
    <w:rsid w:val="00CF7730"/>
    <w:rsid w:val="00CF7F57"/>
    <w:rsid w:val="00D012AC"/>
    <w:rsid w:val="00D03444"/>
    <w:rsid w:val="00D04F4E"/>
    <w:rsid w:val="00D0511B"/>
    <w:rsid w:val="00D0527C"/>
    <w:rsid w:val="00D062DD"/>
    <w:rsid w:val="00D12422"/>
    <w:rsid w:val="00D12493"/>
    <w:rsid w:val="00D12B8B"/>
    <w:rsid w:val="00D135D1"/>
    <w:rsid w:val="00D14C4C"/>
    <w:rsid w:val="00D179C9"/>
    <w:rsid w:val="00D20398"/>
    <w:rsid w:val="00D20A4E"/>
    <w:rsid w:val="00D26B22"/>
    <w:rsid w:val="00D31451"/>
    <w:rsid w:val="00D31A86"/>
    <w:rsid w:val="00D31CEB"/>
    <w:rsid w:val="00D336CE"/>
    <w:rsid w:val="00D35FC5"/>
    <w:rsid w:val="00D36055"/>
    <w:rsid w:val="00D37696"/>
    <w:rsid w:val="00D37978"/>
    <w:rsid w:val="00D42437"/>
    <w:rsid w:val="00D42F65"/>
    <w:rsid w:val="00D42FF7"/>
    <w:rsid w:val="00D43ABB"/>
    <w:rsid w:val="00D45802"/>
    <w:rsid w:val="00D461B2"/>
    <w:rsid w:val="00D46865"/>
    <w:rsid w:val="00D52099"/>
    <w:rsid w:val="00D526D2"/>
    <w:rsid w:val="00D5387B"/>
    <w:rsid w:val="00D55A6F"/>
    <w:rsid w:val="00D5741A"/>
    <w:rsid w:val="00D61E1D"/>
    <w:rsid w:val="00D622CF"/>
    <w:rsid w:val="00D635B0"/>
    <w:rsid w:val="00D63C86"/>
    <w:rsid w:val="00D65658"/>
    <w:rsid w:val="00D6603A"/>
    <w:rsid w:val="00D66B95"/>
    <w:rsid w:val="00D67817"/>
    <w:rsid w:val="00D67EF1"/>
    <w:rsid w:val="00D73610"/>
    <w:rsid w:val="00D741CF"/>
    <w:rsid w:val="00D7506B"/>
    <w:rsid w:val="00D75F19"/>
    <w:rsid w:val="00D76C2D"/>
    <w:rsid w:val="00D77E6D"/>
    <w:rsid w:val="00D807FF"/>
    <w:rsid w:val="00D81089"/>
    <w:rsid w:val="00D81156"/>
    <w:rsid w:val="00D81397"/>
    <w:rsid w:val="00D85BEA"/>
    <w:rsid w:val="00D85E7D"/>
    <w:rsid w:val="00D86438"/>
    <w:rsid w:val="00D86CD5"/>
    <w:rsid w:val="00D874E4"/>
    <w:rsid w:val="00D97645"/>
    <w:rsid w:val="00DA1A67"/>
    <w:rsid w:val="00DA56AE"/>
    <w:rsid w:val="00DB2225"/>
    <w:rsid w:val="00DB4DA0"/>
    <w:rsid w:val="00DB500B"/>
    <w:rsid w:val="00DB70F5"/>
    <w:rsid w:val="00DC07B8"/>
    <w:rsid w:val="00DC23EB"/>
    <w:rsid w:val="00DC333D"/>
    <w:rsid w:val="00DC40AF"/>
    <w:rsid w:val="00DC41C5"/>
    <w:rsid w:val="00DC68A5"/>
    <w:rsid w:val="00DC6FA0"/>
    <w:rsid w:val="00DC7DAB"/>
    <w:rsid w:val="00DD0C35"/>
    <w:rsid w:val="00DD145C"/>
    <w:rsid w:val="00DD44A0"/>
    <w:rsid w:val="00DD584F"/>
    <w:rsid w:val="00DD5E33"/>
    <w:rsid w:val="00DE48B9"/>
    <w:rsid w:val="00DE58D4"/>
    <w:rsid w:val="00DF0CF3"/>
    <w:rsid w:val="00DF4321"/>
    <w:rsid w:val="00E04698"/>
    <w:rsid w:val="00E0505E"/>
    <w:rsid w:val="00E1066F"/>
    <w:rsid w:val="00E11FF1"/>
    <w:rsid w:val="00E16D5C"/>
    <w:rsid w:val="00E17F03"/>
    <w:rsid w:val="00E220A2"/>
    <w:rsid w:val="00E24FEC"/>
    <w:rsid w:val="00E26947"/>
    <w:rsid w:val="00E35889"/>
    <w:rsid w:val="00E36930"/>
    <w:rsid w:val="00E37C52"/>
    <w:rsid w:val="00E44950"/>
    <w:rsid w:val="00E45E8B"/>
    <w:rsid w:val="00E47236"/>
    <w:rsid w:val="00E47B28"/>
    <w:rsid w:val="00E50112"/>
    <w:rsid w:val="00E50813"/>
    <w:rsid w:val="00E64DD1"/>
    <w:rsid w:val="00E67133"/>
    <w:rsid w:val="00E7374A"/>
    <w:rsid w:val="00E74020"/>
    <w:rsid w:val="00E7653C"/>
    <w:rsid w:val="00E76D77"/>
    <w:rsid w:val="00E77540"/>
    <w:rsid w:val="00E8233D"/>
    <w:rsid w:val="00E855E6"/>
    <w:rsid w:val="00E859DD"/>
    <w:rsid w:val="00E86017"/>
    <w:rsid w:val="00E86A5E"/>
    <w:rsid w:val="00E906B8"/>
    <w:rsid w:val="00E91C60"/>
    <w:rsid w:val="00E93B5F"/>
    <w:rsid w:val="00E95500"/>
    <w:rsid w:val="00E9754E"/>
    <w:rsid w:val="00E975B0"/>
    <w:rsid w:val="00EA0B84"/>
    <w:rsid w:val="00EA1D79"/>
    <w:rsid w:val="00EA26A0"/>
    <w:rsid w:val="00EA543A"/>
    <w:rsid w:val="00EA6D12"/>
    <w:rsid w:val="00EB0ED8"/>
    <w:rsid w:val="00EB1337"/>
    <w:rsid w:val="00EB19F5"/>
    <w:rsid w:val="00EB29B4"/>
    <w:rsid w:val="00EB2CCB"/>
    <w:rsid w:val="00EB4F2B"/>
    <w:rsid w:val="00EB51A9"/>
    <w:rsid w:val="00EB5D03"/>
    <w:rsid w:val="00EC173F"/>
    <w:rsid w:val="00EC1F5D"/>
    <w:rsid w:val="00EC38E4"/>
    <w:rsid w:val="00EC6F0B"/>
    <w:rsid w:val="00ED0C44"/>
    <w:rsid w:val="00ED1117"/>
    <w:rsid w:val="00ED136F"/>
    <w:rsid w:val="00ED152E"/>
    <w:rsid w:val="00ED18D1"/>
    <w:rsid w:val="00ED66F2"/>
    <w:rsid w:val="00ED6908"/>
    <w:rsid w:val="00ED79F0"/>
    <w:rsid w:val="00EE2A5D"/>
    <w:rsid w:val="00EF41B7"/>
    <w:rsid w:val="00EF6CFD"/>
    <w:rsid w:val="00F00965"/>
    <w:rsid w:val="00F01CBE"/>
    <w:rsid w:val="00F0624C"/>
    <w:rsid w:val="00F0788F"/>
    <w:rsid w:val="00F1092F"/>
    <w:rsid w:val="00F10E27"/>
    <w:rsid w:val="00F12073"/>
    <w:rsid w:val="00F1635C"/>
    <w:rsid w:val="00F2081A"/>
    <w:rsid w:val="00F21EE9"/>
    <w:rsid w:val="00F23A4B"/>
    <w:rsid w:val="00F30809"/>
    <w:rsid w:val="00F33279"/>
    <w:rsid w:val="00F33B7B"/>
    <w:rsid w:val="00F37979"/>
    <w:rsid w:val="00F413A3"/>
    <w:rsid w:val="00F41930"/>
    <w:rsid w:val="00F439E0"/>
    <w:rsid w:val="00F44E14"/>
    <w:rsid w:val="00F45601"/>
    <w:rsid w:val="00F468D8"/>
    <w:rsid w:val="00F472AE"/>
    <w:rsid w:val="00F47993"/>
    <w:rsid w:val="00F512E6"/>
    <w:rsid w:val="00F52D4D"/>
    <w:rsid w:val="00F54482"/>
    <w:rsid w:val="00F57B20"/>
    <w:rsid w:val="00F62C7D"/>
    <w:rsid w:val="00F63A57"/>
    <w:rsid w:val="00F6713F"/>
    <w:rsid w:val="00F707A0"/>
    <w:rsid w:val="00F70FA9"/>
    <w:rsid w:val="00F74051"/>
    <w:rsid w:val="00F7517F"/>
    <w:rsid w:val="00F75C20"/>
    <w:rsid w:val="00F75F14"/>
    <w:rsid w:val="00F80192"/>
    <w:rsid w:val="00F80F3F"/>
    <w:rsid w:val="00F81FF7"/>
    <w:rsid w:val="00F8266F"/>
    <w:rsid w:val="00F831C8"/>
    <w:rsid w:val="00F83311"/>
    <w:rsid w:val="00F86C14"/>
    <w:rsid w:val="00F87E42"/>
    <w:rsid w:val="00F87E75"/>
    <w:rsid w:val="00F920F0"/>
    <w:rsid w:val="00F92E90"/>
    <w:rsid w:val="00F94099"/>
    <w:rsid w:val="00F9753B"/>
    <w:rsid w:val="00FA1223"/>
    <w:rsid w:val="00FA1A85"/>
    <w:rsid w:val="00FA3EF9"/>
    <w:rsid w:val="00FB08ED"/>
    <w:rsid w:val="00FB167E"/>
    <w:rsid w:val="00FB409C"/>
    <w:rsid w:val="00FB69B8"/>
    <w:rsid w:val="00FB773F"/>
    <w:rsid w:val="00FB78EE"/>
    <w:rsid w:val="00FC01A7"/>
    <w:rsid w:val="00FC10CE"/>
    <w:rsid w:val="00FC59E1"/>
    <w:rsid w:val="00FC5C02"/>
    <w:rsid w:val="00FC5DB3"/>
    <w:rsid w:val="00FC5EA6"/>
    <w:rsid w:val="00FC726C"/>
    <w:rsid w:val="00FC7462"/>
    <w:rsid w:val="00FD14AE"/>
    <w:rsid w:val="00FD1AD2"/>
    <w:rsid w:val="00FD7413"/>
    <w:rsid w:val="00FE0C55"/>
    <w:rsid w:val="00FE4D14"/>
    <w:rsid w:val="00FE643C"/>
    <w:rsid w:val="00FF3192"/>
    <w:rsid w:val="00FF59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D8E"/>
    <w:pPr>
      <w:spacing w:after="200" w:line="276" w:lineRule="auto"/>
    </w:pPr>
    <w:rPr>
      <w:lang w:eastAsia="en-US"/>
    </w:rPr>
  </w:style>
  <w:style w:type="paragraph" w:styleId="Titolo2">
    <w:name w:val="heading 2"/>
    <w:basedOn w:val="Normale"/>
    <w:next w:val="Normale"/>
    <w:link w:val="Titolo2Carattere"/>
    <w:uiPriority w:val="99"/>
    <w:qFormat/>
    <w:locked/>
    <w:rsid w:val="00D622CF"/>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D622CF"/>
    <w:rPr>
      <w:rFonts w:ascii="Cambria" w:hAnsi="Cambria" w:cs="Times New Roman"/>
      <w:b/>
      <w:bCs/>
      <w:i/>
      <w:iCs/>
      <w:sz w:val="28"/>
      <w:szCs w:val="28"/>
      <w:lang w:eastAsia="en-US"/>
    </w:rPr>
  </w:style>
  <w:style w:type="paragraph" w:styleId="Testonotaapidipagina">
    <w:name w:val="footnote text"/>
    <w:basedOn w:val="Normale"/>
    <w:link w:val="TestonotaapidipaginaCarattere"/>
    <w:uiPriority w:val="99"/>
    <w:rsid w:val="00B27D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locked/>
    <w:rsid w:val="00B27D8E"/>
    <w:rPr>
      <w:rFonts w:ascii="Calibri" w:hAnsi="Calibri" w:cs="Times New Roman"/>
      <w:sz w:val="20"/>
      <w:szCs w:val="20"/>
    </w:rPr>
  </w:style>
  <w:style w:type="character" w:styleId="Rimandonotaapidipagina">
    <w:name w:val="footnote reference"/>
    <w:basedOn w:val="Carpredefinitoparagrafo"/>
    <w:uiPriority w:val="99"/>
    <w:semiHidden/>
    <w:rsid w:val="00B27D8E"/>
    <w:rPr>
      <w:rFonts w:cs="Times New Roman"/>
      <w:vertAlign w:val="superscript"/>
    </w:rPr>
  </w:style>
  <w:style w:type="character" w:customStyle="1" w:styleId="apple-style-span">
    <w:name w:val="apple-style-span"/>
    <w:uiPriority w:val="99"/>
    <w:rsid w:val="00B27D8E"/>
  </w:style>
  <w:style w:type="character" w:styleId="Collegamentoipertestuale">
    <w:name w:val="Hyperlink"/>
    <w:basedOn w:val="Carpredefinitoparagrafo"/>
    <w:uiPriority w:val="99"/>
    <w:rsid w:val="00B27D8E"/>
    <w:rPr>
      <w:rFonts w:cs="Times New Roman"/>
      <w:color w:val="0000FF"/>
      <w:u w:val="single"/>
    </w:rPr>
  </w:style>
  <w:style w:type="paragraph" w:styleId="NormaleWeb">
    <w:name w:val="Normal (Web)"/>
    <w:basedOn w:val="Normale"/>
    <w:uiPriority w:val="99"/>
    <w:rsid w:val="00B27D8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uiPriority w:val="99"/>
    <w:rsid w:val="00B27D8E"/>
  </w:style>
  <w:style w:type="character" w:customStyle="1" w:styleId="EndnoteTextChar">
    <w:name w:val="Endnote Text Char"/>
    <w:uiPriority w:val="99"/>
    <w:semiHidden/>
    <w:locked/>
    <w:rsid w:val="00B27D8E"/>
    <w:rPr>
      <w:rFonts w:ascii="Calibri" w:hAnsi="Calibri"/>
      <w:sz w:val="20"/>
    </w:rPr>
  </w:style>
  <w:style w:type="paragraph" w:styleId="Testonotadichiusura">
    <w:name w:val="endnote text"/>
    <w:basedOn w:val="Normale"/>
    <w:link w:val="TestonotadichiusuraCarattere"/>
    <w:uiPriority w:val="99"/>
    <w:semiHidden/>
    <w:rsid w:val="00B27D8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5366A8"/>
    <w:rPr>
      <w:rFonts w:cs="Times New Roman"/>
      <w:sz w:val="20"/>
      <w:szCs w:val="20"/>
      <w:lang w:eastAsia="en-US"/>
    </w:rPr>
  </w:style>
  <w:style w:type="character" w:styleId="Enfasicorsivo">
    <w:name w:val="Emphasis"/>
    <w:basedOn w:val="Carpredefinitoparagrafo"/>
    <w:uiPriority w:val="99"/>
    <w:qFormat/>
    <w:rsid w:val="00B27D8E"/>
    <w:rPr>
      <w:rFonts w:cs="Times New Roman"/>
      <w:i/>
    </w:rPr>
  </w:style>
  <w:style w:type="character" w:customStyle="1" w:styleId="CommentTextChar">
    <w:name w:val="Comment Text Char"/>
    <w:uiPriority w:val="99"/>
    <w:semiHidden/>
    <w:locked/>
    <w:rsid w:val="00B27D8E"/>
    <w:rPr>
      <w:rFonts w:ascii="Calibri" w:hAnsi="Calibri"/>
      <w:sz w:val="20"/>
    </w:rPr>
  </w:style>
  <w:style w:type="paragraph" w:styleId="Testocommento">
    <w:name w:val="annotation text"/>
    <w:basedOn w:val="Normale"/>
    <w:link w:val="TestocommentoCarattere"/>
    <w:uiPriority w:val="99"/>
    <w:semiHidden/>
    <w:rsid w:val="00B27D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366A8"/>
    <w:rPr>
      <w:rFonts w:cs="Times New Roman"/>
      <w:sz w:val="20"/>
      <w:szCs w:val="20"/>
      <w:lang w:eastAsia="en-US"/>
    </w:rPr>
  </w:style>
  <w:style w:type="character" w:customStyle="1" w:styleId="BalloonTextChar">
    <w:name w:val="Balloon Text Char"/>
    <w:uiPriority w:val="99"/>
    <w:semiHidden/>
    <w:locked/>
    <w:rsid w:val="00B27D8E"/>
    <w:rPr>
      <w:rFonts w:ascii="Tahoma" w:hAnsi="Tahoma"/>
      <w:sz w:val="20"/>
    </w:rPr>
  </w:style>
  <w:style w:type="paragraph" w:styleId="Testofumetto">
    <w:name w:val="Balloon Text"/>
    <w:basedOn w:val="Normale"/>
    <w:link w:val="TestofumettoCarattere"/>
    <w:uiPriority w:val="99"/>
    <w:semiHidden/>
    <w:rsid w:val="00B27D8E"/>
    <w:pPr>
      <w:spacing w:after="0" w:line="240" w:lineRule="auto"/>
    </w:pPr>
    <w:rPr>
      <w:rFonts w:ascii="Tahoma" w:hAnsi="Tahoma"/>
      <w:sz w:val="20"/>
      <w:szCs w:val="20"/>
    </w:rPr>
  </w:style>
  <w:style w:type="character" w:customStyle="1" w:styleId="TestofumettoCarattere">
    <w:name w:val="Testo fumetto Carattere"/>
    <w:basedOn w:val="Carpredefinitoparagrafo"/>
    <w:link w:val="Testofumetto"/>
    <w:uiPriority w:val="99"/>
    <w:semiHidden/>
    <w:locked/>
    <w:rsid w:val="005366A8"/>
    <w:rPr>
      <w:rFonts w:ascii="Times New Roman" w:hAnsi="Times New Roman" w:cs="Times New Roman"/>
      <w:sz w:val="2"/>
      <w:lang w:eastAsia="en-US"/>
    </w:rPr>
  </w:style>
  <w:style w:type="character" w:customStyle="1" w:styleId="searchword">
    <w:name w:val="searchword"/>
    <w:uiPriority w:val="99"/>
    <w:rsid w:val="00B27D8E"/>
  </w:style>
  <w:style w:type="paragraph" w:customStyle="1" w:styleId="c01pointnumerotealtn">
    <w:name w:val="c01pointnumerotealtn"/>
    <w:basedOn w:val="Normale"/>
    <w:uiPriority w:val="99"/>
    <w:rsid w:val="00B27D8E"/>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B27D8E"/>
    <w:pPr>
      <w:spacing w:after="0" w:line="240" w:lineRule="auto"/>
      <w:ind w:left="720"/>
      <w:contextualSpacing/>
      <w:jc w:val="both"/>
    </w:pPr>
    <w:rPr>
      <w:rFonts w:ascii="Times New Roman" w:hAnsi="Times New Roman" w:cs="Calibri"/>
      <w:sz w:val="24"/>
      <w:lang w:val="en-GB"/>
    </w:rPr>
  </w:style>
  <w:style w:type="character" w:styleId="CitazioneHTML">
    <w:name w:val="HTML Cite"/>
    <w:basedOn w:val="Carpredefinitoparagrafo"/>
    <w:uiPriority w:val="99"/>
    <w:semiHidden/>
    <w:rsid w:val="00B27D8E"/>
    <w:rPr>
      <w:rFonts w:cs="Times New Roman"/>
      <w:i/>
    </w:rPr>
  </w:style>
  <w:style w:type="character" w:customStyle="1" w:styleId="slug-pub-date">
    <w:name w:val="slug-pub-date"/>
    <w:uiPriority w:val="99"/>
    <w:rsid w:val="00B27D8E"/>
  </w:style>
  <w:style w:type="character" w:customStyle="1" w:styleId="slug-vol">
    <w:name w:val="slug-vol"/>
    <w:uiPriority w:val="99"/>
    <w:rsid w:val="00B27D8E"/>
  </w:style>
  <w:style w:type="character" w:customStyle="1" w:styleId="slug-issue">
    <w:name w:val="slug-issue"/>
    <w:uiPriority w:val="99"/>
    <w:rsid w:val="00B27D8E"/>
  </w:style>
  <w:style w:type="character" w:customStyle="1" w:styleId="slug-pages">
    <w:name w:val="slug-pages"/>
    <w:uiPriority w:val="99"/>
    <w:rsid w:val="00B27D8E"/>
  </w:style>
  <w:style w:type="character" w:styleId="Enfasigrassetto">
    <w:name w:val="Strong"/>
    <w:basedOn w:val="Carpredefinitoparagrafo"/>
    <w:uiPriority w:val="99"/>
    <w:qFormat/>
    <w:rsid w:val="00B27D8E"/>
    <w:rPr>
      <w:rFonts w:cs="Times New Roman"/>
      <w:b/>
    </w:rPr>
  </w:style>
  <w:style w:type="character" w:customStyle="1" w:styleId="st">
    <w:name w:val="st"/>
    <w:uiPriority w:val="99"/>
    <w:rsid w:val="00B27D8E"/>
  </w:style>
  <w:style w:type="character" w:customStyle="1" w:styleId="CommentSubjectChar">
    <w:name w:val="Comment Subject Char"/>
    <w:uiPriority w:val="99"/>
    <w:semiHidden/>
    <w:locked/>
    <w:rsid w:val="00B27D8E"/>
    <w:rPr>
      <w:rFonts w:ascii="Calibri" w:hAnsi="Calibri"/>
      <w:b/>
      <w:sz w:val="20"/>
    </w:rPr>
  </w:style>
  <w:style w:type="paragraph" w:styleId="Soggettocommento">
    <w:name w:val="annotation subject"/>
    <w:basedOn w:val="Testocommento"/>
    <w:next w:val="Testocommento"/>
    <w:link w:val="SoggettocommentoCarattere"/>
    <w:uiPriority w:val="99"/>
    <w:semiHidden/>
    <w:rsid w:val="00B27D8E"/>
    <w:rPr>
      <w:b/>
    </w:rPr>
  </w:style>
  <w:style w:type="character" w:customStyle="1" w:styleId="SoggettocommentoCarattere">
    <w:name w:val="Soggetto commento Carattere"/>
    <w:basedOn w:val="CommentTextChar"/>
    <w:link w:val="Soggettocommento"/>
    <w:uiPriority w:val="99"/>
    <w:semiHidden/>
    <w:locked/>
    <w:rsid w:val="005366A8"/>
    <w:rPr>
      <w:rFonts w:cs="Times New Roman"/>
      <w:b/>
      <w:bCs/>
      <w:szCs w:val="20"/>
      <w:lang w:eastAsia="en-US"/>
    </w:rPr>
  </w:style>
  <w:style w:type="paragraph" w:styleId="Pidipagina">
    <w:name w:val="footer"/>
    <w:basedOn w:val="Normale"/>
    <w:link w:val="PidipaginaCarattere"/>
    <w:uiPriority w:val="99"/>
    <w:rsid w:val="00B27D8E"/>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B27D8E"/>
    <w:rPr>
      <w:rFonts w:ascii="Calibri" w:hAnsi="Calibri" w:cs="Times New Roman"/>
      <w:sz w:val="20"/>
      <w:szCs w:val="20"/>
    </w:rPr>
  </w:style>
  <w:style w:type="character" w:styleId="Numeropagina">
    <w:name w:val="page number"/>
    <w:basedOn w:val="Carpredefinitoparagrafo"/>
    <w:uiPriority w:val="99"/>
    <w:rsid w:val="00B27D8E"/>
    <w:rPr>
      <w:rFonts w:cs="Times New Roman"/>
    </w:rPr>
  </w:style>
  <w:style w:type="character" w:customStyle="1" w:styleId="HeaderChar">
    <w:name w:val="Header Char"/>
    <w:uiPriority w:val="99"/>
    <w:semiHidden/>
    <w:locked/>
    <w:rsid w:val="00B27D8E"/>
    <w:rPr>
      <w:rFonts w:ascii="Calibri" w:hAnsi="Calibri"/>
      <w:sz w:val="20"/>
    </w:rPr>
  </w:style>
  <w:style w:type="paragraph" w:styleId="Intestazione">
    <w:name w:val="header"/>
    <w:basedOn w:val="Normale"/>
    <w:link w:val="IntestazioneCarattere"/>
    <w:uiPriority w:val="99"/>
    <w:semiHidden/>
    <w:rsid w:val="00B27D8E"/>
    <w:pPr>
      <w:tabs>
        <w:tab w:val="center" w:pos="4536"/>
        <w:tab w:val="right" w:pos="9072"/>
      </w:tabs>
      <w:spacing w:after="0" w:line="240" w:lineRule="auto"/>
    </w:pPr>
    <w:rPr>
      <w:sz w:val="20"/>
      <w:szCs w:val="20"/>
    </w:rPr>
  </w:style>
  <w:style w:type="character" w:customStyle="1" w:styleId="IntestazioneCarattere">
    <w:name w:val="Intestazione Carattere"/>
    <w:basedOn w:val="Carpredefinitoparagrafo"/>
    <w:link w:val="Intestazione"/>
    <w:uiPriority w:val="99"/>
    <w:semiHidden/>
    <w:locked/>
    <w:rsid w:val="005366A8"/>
    <w:rPr>
      <w:rFonts w:cs="Times New Roman"/>
      <w:lang w:eastAsia="en-US"/>
    </w:rPr>
  </w:style>
  <w:style w:type="paragraph" w:customStyle="1" w:styleId="Paragrafoelenco1">
    <w:name w:val="Paragrafo elenco1"/>
    <w:basedOn w:val="Normale"/>
    <w:uiPriority w:val="99"/>
    <w:rsid w:val="00B27D8E"/>
    <w:pPr>
      <w:ind w:left="720"/>
      <w:contextualSpacing/>
    </w:pPr>
    <w:rPr>
      <w:rFonts w:eastAsia="Times New Roman" w:cs="Arial"/>
    </w:rPr>
  </w:style>
  <w:style w:type="paragraph" w:styleId="Sommario1">
    <w:name w:val="toc 1"/>
    <w:basedOn w:val="Normale"/>
    <w:next w:val="Normale"/>
    <w:autoRedefine/>
    <w:uiPriority w:val="99"/>
    <w:rsid w:val="007945B9"/>
    <w:pPr>
      <w:tabs>
        <w:tab w:val="right" w:leader="dot" w:pos="10456"/>
      </w:tabs>
      <w:spacing w:after="0" w:line="240" w:lineRule="auto"/>
    </w:pPr>
    <w:rPr>
      <w:rFonts w:ascii="Times New Roman" w:hAnsi="Times New Roman" w:cs="Calibri"/>
      <w:bCs/>
      <w:noProof/>
      <w:sz w:val="20"/>
      <w:szCs w:val="20"/>
      <w:lang w:val="en-GB"/>
    </w:rPr>
  </w:style>
  <w:style w:type="paragraph" w:styleId="Sommario2">
    <w:name w:val="toc 2"/>
    <w:basedOn w:val="Normale"/>
    <w:next w:val="Normale"/>
    <w:autoRedefine/>
    <w:uiPriority w:val="99"/>
    <w:rsid w:val="007945B9"/>
    <w:pPr>
      <w:tabs>
        <w:tab w:val="right" w:leader="dot" w:pos="10456"/>
        <w:tab w:val="right" w:leader="dot" w:pos="10490"/>
      </w:tabs>
      <w:spacing w:after="0" w:line="240" w:lineRule="auto"/>
      <w:ind w:left="238"/>
    </w:pPr>
    <w:rPr>
      <w:rFonts w:ascii="Times New Roman" w:hAnsi="Times New Roman" w:cs="Calibri"/>
      <w:iCs/>
      <w:noProof/>
      <w:sz w:val="20"/>
      <w:szCs w:val="20"/>
      <w:lang w:val="en-GB"/>
    </w:rPr>
  </w:style>
  <w:style w:type="character" w:customStyle="1" w:styleId="affairetitle">
    <w:name w:val="affaire_title"/>
    <w:basedOn w:val="Carpredefinitoparagrafo"/>
    <w:uiPriority w:val="99"/>
    <w:rsid w:val="00F75C20"/>
    <w:rPr>
      <w:rFonts w:cs="Times New Roman"/>
    </w:rPr>
  </w:style>
</w:styles>
</file>

<file path=word/webSettings.xml><?xml version="1.0" encoding="utf-8"?>
<w:webSettings xmlns:r="http://schemas.openxmlformats.org/officeDocument/2006/relationships" xmlns:w="http://schemas.openxmlformats.org/wordprocessingml/2006/main">
  <w:divs>
    <w:div w:id="758257241">
      <w:marLeft w:val="0"/>
      <w:marRight w:val="0"/>
      <w:marTop w:val="0"/>
      <w:marBottom w:val="0"/>
      <w:divBdr>
        <w:top w:val="none" w:sz="0" w:space="0" w:color="auto"/>
        <w:left w:val="none" w:sz="0" w:space="0" w:color="auto"/>
        <w:bottom w:val="none" w:sz="0" w:space="0" w:color="auto"/>
        <w:right w:val="none" w:sz="0" w:space="0" w:color="auto"/>
      </w:divBdr>
    </w:div>
    <w:div w:id="758257242">
      <w:marLeft w:val="0"/>
      <w:marRight w:val="0"/>
      <w:marTop w:val="0"/>
      <w:marBottom w:val="0"/>
      <w:divBdr>
        <w:top w:val="none" w:sz="0" w:space="0" w:color="auto"/>
        <w:left w:val="none" w:sz="0" w:space="0" w:color="auto"/>
        <w:bottom w:val="none" w:sz="0" w:space="0" w:color="auto"/>
        <w:right w:val="none" w:sz="0" w:space="0" w:color="auto"/>
      </w:divBdr>
    </w:div>
    <w:div w:id="758257243">
      <w:marLeft w:val="0"/>
      <w:marRight w:val="0"/>
      <w:marTop w:val="0"/>
      <w:marBottom w:val="0"/>
      <w:divBdr>
        <w:top w:val="none" w:sz="0" w:space="0" w:color="auto"/>
        <w:left w:val="none" w:sz="0" w:space="0" w:color="auto"/>
        <w:bottom w:val="none" w:sz="0" w:space="0" w:color="auto"/>
        <w:right w:val="none" w:sz="0" w:space="0" w:color="auto"/>
      </w:divBdr>
    </w:div>
    <w:div w:id="758257244">
      <w:marLeft w:val="0"/>
      <w:marRight w:val="0"/>
      <w:marTop w:val="0"/>
      <w:marBottom w:val="0"/>
      <w:divBdr>
        <w:top w:val="none" w:sz="0" w:space="0" w:color="auto"/>
        <w:left w:val="none" w:sz="0" w:space="0" w:color="auto"/>
        <w:bottom w:val="none" w:sz="0" w:space="0" w:color="auto"/>
        <w:right w:val="none" w:sz="0" w:space="0" w:color="auto"/>
      </w:divBdr>
    </w:div>
    <w:div w:id="758257245">
      <w:marLeft w:val="0"/>
      <w:marRight w:val="0"/>
      <w:marTop w:val="0"/>
      <w:marBottom w:val="0"/>
      <w:divBdr>
        <w:top w:val="none" w:sz="0" w:space="0" w:color="auto"/>
        <w:left w:val="none" w:sz="0" w:space="0" w:color="auto"/>
        <w:bottom w:val="none" w:sz="0" w:space="0" w:color="auto"/>
        <w:right w:val="none" w:sz="0" w:space="0" w:color="auto"/>
      </w:divBdr>
    </w:div>
    <w:div w:id="758257246">
      <w:marLeft w:val="0"/>
      <w:marRight w:val="0"/>
      <w:marTop w:val="0"/>
      <w:marBottom w:val="0"/>
      <w:divBdr>
        <w:top w:val="none" w:sz="0" w:space="0" w:color="auto"/>
        <w:left w:val="none" w:sz="0" w:space="0" w:color="auto"/>
        <w:bottom w:val="none" w:sz="0" w:space="0" w:color="auto"/>
        <w:right w:val="none" w:sz="0" w:space="0" w:color="auto"/>
      </w:divBdr>
    </w:div>
    <w:div w:id="758257247">
      <w:marLeft w:val="0"/>
      <w:marRight w:val="0"/>
      <w:marTop w:val="0"/>
      <w:marBottom w:val="0"/>
      <w:divBdr>
        <w:top w:val="none" w:sz="0" w:space="0" w:color="auto"/>
        <w:left w:val="none" w:sz="0" w:space="0" w:color="auto"/>
        <w:bottom w:val="none" w:sz="0" w:space="0" w:color="auto"/>
        <w:right w:val="none" w:sz="0" w:space="0" w:color="auto"/>
      </w:divBdr>
    </w:div>
    <w:div w:id="758257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ermanlawjournal.com/article.php?id=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14724</Words>
  <Characters>83930</Characters>
  <Application>Microsoft Office Word</Application>
  <DocSecurity>0</DocSecurity>
  <Lines>699</Lines>
  <Paragraphs>196</Paragraphs>
  <ScaleCrop>false</ScaleCrop>
  <Company/>
  <LinksUpToDate>false</LinksUpToDate>
  <CharactersWithSpaces>98458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Itzcovich</dc:creator>
  <cp:keywords/>
  <dc:description/>
  <cp:lastModifiedBy>Maggie</cp:lastModifiedBy>
  <cp:revision>2</cp:revision>
  <cp:lastPrinted>2014-05-27T13:34:00Z</cp:lastPrinted>
  <dcterms:created xsi:type="dcterms:W3CDTF">2014-05-28T13:59:00Z</dcterms:created>
  <dcterms:modified xsi:type="dcterms:W3CDTF">2014-05-28T13:59:00Z</dcterms:modified>
</cp:coreProperties>
</file>